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120" w:after="200"/>
        <w:rPr>
          <w:rFonts w:ascii="Arial" w:hAnsi="Arial" w:cs="Arial"/>
          <w:b/>
          <w:b/>
          <w:color w:val="0051BA"/>
        </w:rPr>
      </w:pPr>
      <w:r>
        <w:rPr>
          <w:rFonts w:cs="Arial" w:ascii="Arial" w:hAnsi="Arial"/>
          <w:b/>
          <w:color w:val="0051BA"/>
        </w:rPr>
      </w:r>
    </w:p>
    <w:p>
      <w:pPr>
        <w:pStyle w:val="Normal"/>
        <w:spacing w:before="120" w:after="200"/>
        <w:rPr>
          <w:rFonts w:ascii="Arial" w:hAnsi="Arial" w:cs="Arial"/>
          <w:b/>
          <w:b/>
          <w:color w:val="0051BA"/>
        </w:rPr>
      </w:pPr>
      <w:r>
        <w:rPr>
          <w:rFonts w:cs="Arial" w:ascii="Arial" w:hAnsi="Arial"/>
          <w:b/>
          <w:color w:val="0051BA"/>
        </w:rPr>
        <w:t>Week 2 Assignment: Peer Review Case Study</w:t>
      </w:r>
    </w:p>
    <w:p>
      <w:pPr>
        <w:pStyle w:val="Normal"/>
        <w:spacing w:before="200" w:after="100"/>
        <w:rPr>
          <w:rFonts w:ascii="Arial" w:hAnsi="Arial" w:cs="Arial"/>
          <w:b/>
          <w:b/>
          <w:i/>
          <w:i/>
          <w:color w:val="0051BA"/>
        </w:rPr>
      </w:pPr>
      <w:r>
        <w:rPr>
          <w:rFonts w:cs="Arial" w:ascii="Arial" w:hAnsi="Arial"/>
          <w:b/>
          <w:iCs/>
          <w:color w:val="0051BA"/>
        </w:rPr>
        <w:t xml:space="preserve">Overview: </w:t>
      </w:r>
      <w:r>
        <w:rPr>
          <w:rFonts w:cs="Arial" w:ascii="Arial" w:hAnsi="Arial"/>
          <w:b/>
          <w:color w:val="0051BA"/>
        </w:rPr>
        <w:t>Peer Review Case Study (Minor Incident or Not?)</w:t>
      </w:r>
    </w:p>
    <w:p>
      <w:pPr>
        <w:pStyle w:val="Normal"/>
        <w:autoSpaceDE w:val="false"/>
        <w:spacing w:before="0" w:after="100"/>
        <w:rPr>
          <w:rFonts w:ascii="Arial" w:hAnsi="Arial" w:cs="Arial"/>
          <w:sz w:val="22"/>
        </w:rPr>
      </w:pPr>
      <w:r>
        <w:rPr>
          <w:rFonts w:cs="Arial" w:ascii="Arial" w:hAnsi="Arial"/>
          <w:sz w:val="22"/>
        </w:rPr>
        <w:t>Each year, many nurses undergo peer review at their employing facilities and other nurses sit on the facilities’ Peer Review Committees and evaluate the conduct and practice of their colleagues. It is important that the peer review process follows legal mandates so that a fair peer review will be held for the nurse under investigation.  You will read a fictitious scenario and identify pertinent facts in deciding if the peer-reviewed nurse needs to be referred to the Texas Board of Nursing for license investigation. In doing this, you will apply the Minor Incident Rule (Board Rule 217.16)</w:t>
      </w:r>
    </w:p>
    <w:p>
      <w:pPr>
        <w:pStyle w:val="Normal"/>
        <w:spacing w:before="0" w:after="100"/>
        <w:rPr>
          <w:rFonts w:ascii="Arial" w:hAnsi="Arial" w:cs="Arial"/>
          <w:b/>
          <w:b/>
          <w:iCs/>
          <w:color w:val="0051BA"/>
        </w:rPr>
      </w:pPr>
      <w:r>
        <w:rPr>
          <w:rFonts w:cs="Arial" w:ascii="Arial" w:hAnsi="Arial"/>
          <w:b/>
          <w:iCs/>
          <w:color w:val="0051BA"/>
        </w:rPr>
        <w:t xml:space="preserve">Rubric </w:t>
      </w:r>
    </w:p>
    <w:p>
      <w:pPr>
        <w:pStyle w:val="Normal"/>
        <w:spacing w:before="0" w:after="200"/>
        <w:rPr>
          <w:rFonts w:ascii="Arial" w:hAnsi="Arial" w:cs="Arial"/>
          <w:sz w:val="22"/>
        </w:rPr>
      </w:pPr>
      <w:r>
        <w:rPr>
          <w:rFonts w:cs="Arial" w:ascii="Arial" w:hAnsi="Arial"/>
          <w:sz w:val="22"/>
        </w:rPr>
        <w:t>Use this rubric to guide your work on the assignment, “Peer Review Case Study”.</w:t>
      </w:r>
    </w:p>
    <w:tbl>
      <w:tblPr>
        <w:tblW w:w="9659" w:type="dxa"/>
        <w:jc w:val="start"/>
        <w:tblInd w:w="108" w:type="dxa"/>
        <w:tblBorders>
          <w:top w:val="single" w:sz="4" w:space="0" w:color="000000"/>
          <w:start w:val="single" w:sz="4" w:space="0" w:color="000000"/>
          <w:bottom w:val="single" w:sz="4" w:space="0" w:color="000000"/>
          <w:insideH w:val="single" w:sz="4" w:space="0" w:color="000000"/>
        </w:tblBorders>
        <w:tblCellMar>
          <w:top w:w="0" w:type="dxa"/>
          <w:start w:w="103" w:type="dxa"/>
          <w:bottom w:w="0" w:type="dxa"/>
          <w:end w:w="108" w:type="dxa"/>
        </w:tblCellMar>
      </w:tblPr>
      <w:tblGrid>
        <w:gridCol w:w="3082"/>
        <w:gridCol w:w="2189"/>
        <w:gridCol w:w="2189"/>
        <w:gridCol w:w="2199"/>
      </w:tblGrid>
      <w:tr>
        <w:trPr>
          <w:trHeight w:val="665" w:hRule="atLeast"/>
        </w:trPr>
        <w:tc>
          <w:tcPr>
            <w:tcW w:w="3082" w:type="dxa"/>
            <w:tcBorders>
              <w:top w:val="single" w:sz="4" w:space="0" w:color="000000"/>
              <w:start w:val="single" w:sz="4" w:space="0" w:color="000000"/>
              <w:bottom w:val="single" w:sz="4" w:space="0" w:color="000000"/>
              <w:insideH w:val="single" w:sz="4" w:space="0" w:color="000000"/>
            </w:tcBorders>
            <w:shd w:fill="0051BA" w:val="clear"/>
            <w:tcMar>
              <w:start w:w="103" w:type="dxa"/>
            </w:tcMar>
            <w:vAlign w:val="center"/>
          </w:tcPr>
          <w:p>
            <w:pPr>
              <w:pStyle w:val="Normal"/>
              <w:spacing w:before="100" w:after="100"/>
              <w:jc w:val="center"/>
              <w:rPr>
                <w:rFonts w:ascii="Arial" w:hAnsi="Arial" w:cs="Arial"/>
                <w:b/>
                <w:b/>
                <w:color w:val="FFFFFF"/>
              </w:rPr>
            </w:pPr>
            <w:r>
              <w:rPr>
                <w:rFonts w:cs="Arial Narrow" w:ascii="Arial Narrow" w:hAnsi="Arial Narrow"/>
                <w:b/>
                <w:color w:val="FFFFFF"/>
                <w:sz w:val="22"/>
              </w:rPr>
              <w:t>Task</w:t>
            </w:r>
          </w:p>
        </w:tc>
        <w:tc>
          <w:tcPr>
            <w:tcW w:w="2189" w:type="dxa"/>
            <w:tcBorders>
              <w:top w:val="single" w:sz="4" w:space="0" w:color="000000"/>
              <w:start w:val="single" w:sz="4" w:space="0" w:color="000000"/>
              <w:bottom w:val="single" w:sz="4" w:space="0" w:color="000000"/>
              <w:insideH w:val="single" w:sz="4" w:space="0" w:color="000000"/>
            </w:tcBorders>
            <w:shd w:fill="0051BA" w:val="clear"/>
            <w:tcMar>
              <w:start w:w="103" w:type="dxa"/>
            </w:tcMar>
            <w:vAlign w:val="center"/>
          </w:tcPr>
          <w:p>
            <w:pPr>
              <w:pStyle w:val="Normal"/>
              <w:spacing w:before="100" w:after="100"/>
              <w:jc w:val="center"/>
              <w:rPr>
                <w:rFonts w:ascii="Arial" w:hAnsi="Arial" w:cs="Arial"/>
                <w:color w:val="FFFFFF"/>
              </w:rPr>
            </w:pPr>
            <w:r>
              <w:rPr>
                <w:rFonts w:cs="Arial Narrow" w:ascii="Arial Narrow" w:hAnsi="Arial Narrow"/>
                <w:b/>
                <w:color w:val="FFFFFF"/>
                <w:sz w:val="22"/>
              </w:rPr>
              <w:t>Accomplished</w:t>
            </w:r>
          </w:p>
        </w:tc>
        <w:tc>
          <w:tcPr>
            <w:tcW w:w="2189" w:type="dxa"/>
            <w:tcBorders>
              <w:top w:val="single" w:sz="4" w:space="0" w:color="000000"/>
              <w:start w:val="single" w:sz="4" w:space="0" w:color="000000"/>
              <w:bottom w:val="single" w:sz="4" w:space="0" w:color="000000"/>
              <w:insideH w:val="single" w:sz="4" w:space="0" w:color="000000"/>
            </w:tcBorders>
            <w:shd w:fill="0051BA" w:val="clear"/>
            <w:tcMar>
              <w:start w:w="103" w:type="dxa"/>
            </w:tcMar>
            <w:vAlign w:val="center"/>
          </w:tcPr>
          <w:p>
            <w:pPr>
              <w:pStyle w:val="Normal"/>
              <w:spacing w:before="100" w:after="100"/>
              <w:jc w:val="center"/>
              <w:rPr>
                <w:rFonts w:ascii="Arial" w:hAnsi="Arial" w:cs="Arial"/>
                <w:color w:val="FFFFFF"/>
              </w:rPr>
            </w:pPr>
            <w:r>
              <w:rPr>
                <w:rFonts w:cs="Arial Narrow" w:ascii="Arial Narrow" w:hAnsi="Arial Narrow"/>
                <w:b/>
                <w:color w:val="FFFFFF"/>
                <w:sz w:val="22"/>
              </w:rPr>
              <w:t>Proficient</w:t>
            </w:r>
          </w:p>
        </w:tc>
        <w:tc>
          <w:tcPr>
            <w:tcW w:w="2199"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0051BA" w:val="clear"/>
            <w:tcMar>
              <w:start w:w="103" w:type="dxa"/>
            </w:tcMar>
            <w:vAlign w:val="center"/>
          </w:tcPr>
          <w:p>
            <w:pPr>
              <w:pStyle w:val="Normal"/>
              <w:spacing w:before="100" w:after="100"/>
              <w:jc w:val="center"/>
              <w:rPr>
                <w:rFonts w:ascii="Arial" w:hAnsi="Arial" w:cs="Arial"/>
                <w:color w:val="FFFFFF"/>
              </w:rPr>
            </w:pPr>
            <w:r>
              <w:rPr>
                <w:rFonts w:cs="Arial Narrow" w:ascii="Arial Narrow" w:hAnsi="Arial Narrow"/>
                <w:b/>
                <w:color w:val="FFFFFF"/>
                <w:sz w:val="22"/>
              </w:rPr>
              <w:t>Needs Improvement</w:t>
            </w:r>
          </w:p>
        </w:tc>
      </w:tr>
      <w:tr>
        <w:trPr>
          <w:trHeight w:val="288" w:hRule="atLeast"/>
        </w:trPr>
        <w:tc>
          <w:tcPr>
            <w:tcW w:w="3082" w:type="dxa"/>
            <w:tcBorders>
              <w:top w:val="single" w:sz="4" w:space="0" w:color="000000"/>
              <w:start w:val="single" w:sz="4" w:space="0" w:color="000000"/>
              <w:bottom w:val="single" w:sz="4" w:space="0" w:color="000000"/>
              <w:insideH w:val="single" w:sz="4" w:space="0" w:color="000000"/>
            </w:tcBorders>
            <w:shd w:fill="E87511" w:val="clear"/>
            <w:tcMar>
              <w:start w:w="103" w:type="dxa"/>
            </w:tcMar>
          </w:tcPr>
          <w:p>
            <w:pPr>
              <w:pStyle w:val="LearningObjective"/>
              <w:numPr>
                <w:ilvl w:val="0"/>
                <w:numId w:val="2"/>
              </w:numPr>
              <w:spacing w:before="200" w:after="200"/>
              <w:rPr>
                <w:rFonts w:ascii="Arial Narrow" w:hAnsi="Arial Narrow" w:cs="Arial"/>
                <w:b/>
                <w:b/>
                <w:color w:val="FFFFFF"/>
              </w:rPr>
            </w:pPr>
            <w:r>
              <w:rPr>
                <w:rFonts w:cs="Arial" w:ascii="Arial Narrow" w:hAnsi="Arial Narrow"/>
                <w:b/>
                <w:color w:val="FFFFFF"/>
                <w:sz w:val="22"/>
              </w:rPr>
              <w:t xml:space="preserve">Pertinent Facts </w:t>
            </w:r>
          </w:p>
          <w:p>
            <w:pPr>
              <w:pStyle w:val="LearningObjective"/>
              <w:numPr>
                <w:ilvl w:val="0"/>
                <w:numId w:val="2"/>
              </w:numPr>
              <w:spacing w:before="200" w:after="200"/>
              <w:rPr>
                <w:rFonts w:ascii="Arial Narrow" w:hAnsi="Arial Narrow" w:cs="Arial"/>
                <w:bCs/>
                <w:color w:val="FFFFFF"/>
              </w:rPr>
            </w:pPr>
            <w:r>
              <w:rPr>
                <w:rFonts w:cs="Arial" w:ascii="Arial Narrow" w:hAnsi="Arial Narrow"/>
                <w:bCs/>
                <w:color w:val="FFFFFF"/>
                <w:sz w:val="22"/>
              </w:rPr>
              <w:t xml:space="preserve">Answers questions for each of the case studies. </w:t>
            </w:r>
          </w:p>
          <w:p>
            <w:pPr>
              <w:pStyle w:val="LearningObjective"/>
              <w:numPr>
                <w:ilvl w:val="0"/>
                <w:numId w:val="2"/>
              </w:numPr>
              <w:spacing w:before="200" w:after="200"/>
              <w:rPr>
                <w:rFonts w:ascii="Arial Narrow" w:hAnsi="Arial Narrow" w:cs="Arial"/>
                <w:bCs/>
                <w:color w:val="FFFFFF"/>
              </w:rPr>
            </w:pPr>
            <w:r>
              <w:rPr>
                <w:rFonts w:cs="Arial" w:ascii="Arial Narrow" w:hAnsi="Arial Narrow"/>
                <w:bCs/>
                <w:color w:val="FFFFFF"/>
              </w:rPr>
            </w:r>
          </w:p>
          <w:p>
            <w:pPr>
              <w:pStyle w:val="LearningObjective"/>
              <w:numPr>
                <w:ilvl w:val="0"/>
                <w:numId w:val="2"/>
              </w:numPr>
              <w:spacing w:before="200" w:after="200"/>
              <w:rPr>
                <w:rFonts w:ascii="Arial Narrow" w:hAnsi="Arial Narrow" w:cs="Arial"/>
                <w:b/>
                <w:b/>
                <w:color w:val="000000"/>
              </w:rPr>
            </w:pPr>
            <w:r>
              <w:rPr>
                <w:rFonts w:cs="Arial" w:ascii="Arial Narrow" w:hAnsi="Arial Narrow"/>
                <w:bCs/>
                <w:color w:val="FFFFFF"/>
                <w:sz w:val="22"/>
              </w:rPr>
              <w:t>(Total 20 points)</w:t>
            </w:r>
            <w:r>
              <w:rPr>
                <w:rFonts w:cs="Arial" w:ascii="Arial Narrow" w:hAnsi="Arial Narrow"/>
                <w:bCs/>
                <w:color w:val="000000"/>
                <w:sz w:val="22"/>
              </w:rPr>
              <w:t xml:space="preserve"> </w:t>
            </w:r>
          </w:p>
        </w:tc>
        <w:tc>
          <w:tcPr>
            <w:tcW w:w="2189" w:type="dxa"/>
            <w:tcBorders>
              <w:start w:val="single" w:sz="4" w:space="0" w:color="000000"/>
            </w:tcBorders>
            <w:shd w:fill="auto" w:val="clear"/>
            <w:tcMar>
              <w:start w:w="103" w:type="dxa"/>
            </w:tcMar>
          </w:tcPr>
          <w:p>
            <w:pPr>
              <w:pStyle w:val="Normal"/>
              <w:spacing w:before="200" w:after="200"/>
              <w:rPr>
                <w:rFonts w:ascii="Arial Narrow" w:hAnsi="Arial Narrow" w:cs="Arial Narrow"/>
                <w:sz w:val="22"/>
              </w:rPr>
            </w:pPr>
            <w:r>
              <w:rPr>
                <w:rFonts w:cs="Arial Narrow" w:ascii="Arial Narrow" w:hAnsi="Arial Narrow"/>
                <w:sz w:val="22"/>
              </w:rPr>
              <w:t>Correctly answers all 6 questions for the of the 4 case studies</w:t>
            </w:r>
          </w:p>
          <w:p>
            <w:pPr>
              <w:pStyle w:val="Normal"/>
              <w:spacing w:before="200" w:after="200"/>
              <w:rPr>
                <w:rFonts w:ascii="Arial Narrow" w:hAnsi="Arial Narrow" w:cs="Arial Narrow"/>
              </w:rPr>
            </w:pPr>
            <w:r>
              <w:rPr>
                <w:rFonts w:cs="Arial Narrow" w:ascii="Arial Narrow" w:hAnsi="Arial Narrow"/>
                <w:sz w:val="22"/>
              </w:rPr>
              <w:t>(20 points)</w:t>
            </w:r>
          </w:p>
        </w:tc>
        <w:tc>
          <w:tcPr>
            <w:tcW w:w="2189" w:type="dxa"/>
            <w:tcBorders>
              <w:start w:val="single" w:sz="4" w:space="0" w:color="000000"/>
            </w:tcBorders>
            <w:shd w:fill="auto" w:val="clear"/>
            <w:tcMar>
              <w:start w:w="103" w:type="dxa"/>
            </w:tcMar>
          </w:tcPr>
          <w:p>
            <w:pPr>
              <w:pStyle w:val="Normal"/>
              <w:spacing w:before="200" w:after="200"/>
              <w:rPr>
                <w:rFonts w:ascii="Arial Narrow" w:hAnsi="Arial Narrow" w:cs="Arial Narrow"/>
                <w:sz w:val="22"/>
              </w:rPr>
            </w:pPr>
            <w:r>
              <w:rPr>
                <w:rFonts w:cs="Arial Narrow" w:ascii="Arial Narrow" w:hAnsi="Arial Narrow"/>
                <w:sz w:val="22"/>
              </w:rPr>
              <w:t>States pertinent facts for most of the questions.</w:t>
            </w:r>
          </w:p>
          <w:p>
            <w:pPr>
              <w:pStyle w:val="Normal"/>
              <w:spacing w:before="200" w:after="200"/>
              <w:rPr>
                <w:rFonts w:ascii="Arial Narrow" w:hAnsi="Arial Narrow" w:cs="Arial Narrow"/>
              </w:rPr>
            </w:pPr>
            <w:r>
              <w:rPr>
                <w:rFonts w:cs="Arial Narrow" w:ascii="Arial Narrow" w:hAnsi="Arial Narrow"/>
                <w:sz w:val="22"/>
              </w:rPr>
              <w:t>(10-18 points)</w:t>
            </w:r>
          </w:p>
        </w:tc>
        <w:tc>
          <w:tcPr>
            <w:tcW w:w="2199" w:type="dxa"/>
            <w:tcBorders>
              <w:start w:val="single" w:sz="4" w:space="0" w:color="000000"/>
              <w:end w:val="single" w:sz="4" w:space="0" w:color="000000"/>
              <w:insideV w:val="single" w:sz="4" w:space="0" w:color="000000"/>
            </w:tcBorders>
            <w:shd w:fill="auto" w:val="clear"/>
            <w:tcMar>
              <w:start w:w="103" w:type="dxa"/>
            </w:tcMar>
          </w:tcPr>
          <w:p>
            <w:pPr>
              <w:pStyle w:val="Normal"/>
              <w:spacing w:before="200" w:after="200"/>
              <w:rPr>
                <w:rFonts w:ascii="Arial Narrow" w:hAnsi="Arial Narrow" w:cs="Arial"/>
              </w:rPr>
            </w:pPr>
            <w:r>
              <w:rPr>
                <w:rFonts w:cs="Arial" w:ascii="Arial Narrow" w:hAnsi="Arial Narrow"/>
                <w:sz w:val="22"/>
              </w:rPr>
              <w:t xml:space="preserve">Does not answer most or any of the questions. </w:t>
            </w:r>
          </w:p>
          <w:p>
            <w:pPr>
              <w:pStyle w:val="Normal"/>
              <w:spacing w:before="200" w:after="200"/>
              <w:rPr>
                <w:rFonts w:ascii="Arial Narrow" w:hAnsi="Arial Narrow" w:cs="Arial"/>
              </w:rPr>
            </w:pPr>
            <w:r>
              <w:rPr>
                <w:rFonts w:cs="Arial" w:ascii="Arial Narrow" w:hAnsi="Arial Narrow"/>
                <w:sz w:val="22"/>
              </w:rPr>
              <w:t>(0 points)</w:t>
            </w:r>
          </w:p>
        </w:tc>
      </w:tr>
      <w:tr>
        <w:trPr>
          <w:trHeight w:val="288" w:hRule="atLeast"/>
        </w:trPr>
        <w:tc>
          <w:tcPr>
            <w:tcW w:w="3082" w:type="dxa"/>
            <w:tcBorders>
              <w:top w:val="single" w:sz="4" w:space="0" w:color="000000"/>
              <w:start w:val="single" w:sz="4" w:space="0" w:color="000000"/>
              <w:bottom w:val="single" w:sz="4" w:space="0" w:color="000000"/>
              <w:insideH w:val="single" w:sz="4" w:space="0" w:color="000000"/>
            </w:tcBorders>
            <w:shd w:fill="E87511" w:val="clear"/>
            <w:tcMar>
              <w:start w:w="103" w:type="dxa"/>
            </w:tcMar>
          </w:tcPr>
          <w:p>
            <w:pPr>
              <w:pStyle w:val="LearningObjective"/>
              <w:numPr>
                <w:ilvl w:val="0"/>
                <w:numId w:val="2"/>
              </w:numPr>
              <w:spacing w:before="200" w:after="200"/>
              <w:rPr>
                <w:rFonts w:ascii="Arial Narrow" w:hAnsi="Arial Narrow" w:cs="Arial"/>
                <w:b/>
                <w:b/>
                <w:color w:val="FFFFFF"/>
              </w:rPr>
            </w:pPr>
            <w:r>
              <w:rPr>
                <w:rFonts w:cs="Arial" w:ascii="Arial Narrow" w:hAnsi="Arial Narrow"/>
                <w:b/>
                <w:color w:val="FFFFFF"/>
                <w:sz w:val="22"/>
              </w:rPr>
              <w:t xml:space="preserve">Rationales  </w:t>
            </w:r>
          </w:p>
          <w:p>
            <w:pPr>
              <w:pStyle w:val="LearningObjective"/>
              <w:numPr>
                <w:ilvl w:val="0"/>
                <w:numId w:val="2"/>
              </w:numPr>
              <w:spacing w:before="200" w:after="200"/>
              <w:rPr>
                <w:rFonts w:ascii="Arial Narrow" w:hAnsi="Arial Narrow" w:cs="Arial"/>
                <w:bCs/>
                <w:color w:val="FFFFFF"/>
              </w:rPr>
            </w:pPr>
            <w:r>
              <w:rPr>
                <w:rFonts w:cs="Arial" w:ascii="Arial Narrow" w:hAnsi="Arial Narrow"/>
                <w:bCs/>
                <w:color w:val="FFFFFF"/>
                <w:sz w:val="22"/>
              </w:rPr>
              <w:t xml:space="preserve">Provides clear rational of why the pertinent facts for each case study should or should not be reported to the board.  </w:t>
            </w:r>
          </w:p>
          <w:p>
            <w:pPr>
              <w:pStyle w:val="LearningObjective"/>
              <w:numPr>
                <w:ilvl w:val="0"/>
                <w:numId w:val="2"/>
              </w:numPr>
              <w:spacing w:before="200" w:after="200"/>
              <w:rPr>
                <w:rFonts w:ascii="Arial Narrow" w:hAnsi="Arial Narrow" w:cs="Arial"/>
                <w:bCs/>
                <w:color w:val="FFFFFF"/>
              </w:rPr>
            </w:pPr>
            <w:r>
              <w:rPr>
                <w:rFonts w:cs="Arial" w:ascii="Arial Narrow" w:hAnsi="Arial Narrow"/>
                <w:bCs/>
                <w:color w:val="FFFFFF"/>
              </w:rPr>
              <w:t>20 points per question</w:t>
            </w:r>
          </w:p>
          <w:p>
            <w:pPr>
              <w:pStyle w:val="Normal"/>
              <w:spacing w:before="200" w:after="200"/>
              <w:rPr>
                <w:rFonts w:ascii="Arial Narrow" w:hAnsi="Arial Narrow" w:cs="Arial Narrow"/>
                <w:b/>
                <w:b/>
                <w:bCs/>
                <w:color w:val="FFFFFF"/>
              </w:rPr>
            </w:pPr>
            <w:r>
              <w:rPr>
                <w:rFonts w:cs="Arial" w:ascii="Arial Narrow" w:hAnsi="Arial Narrow"/>
                <w:bCs/>
                <w:color w:val="FFFFFF"/>
                <w:sz w:val="22"/>
              </w:rPr>
              <w:t>(Total 80 points)</w:t>
            </w:r>
          </w:p>
        </w:tc>
        <w:tc>
          <w:tcPr>
            <w:tcW w:w="2189" w:type="dxa"/>
            <w:tcBorders>
              <w:start w:val="single" w:sz="4" w:space="0" w:color="000000"/>
              <w:bottom w:val="single" w:sz="4" w:space="0" w:color="000000"/>
              <w:insideH w:val="single" w:sz="4" w:space="0" w:color="000000"/>
            </w:tcBorders>
            <w:shd w:fill="auto" w:val="clear"/>
            <w:tcMar>
              <w:start w:w="103" w:type="dxa"/>
            </w:tcMar>
          </w:tcPr>
          <w:p>
            <w:pPr>
              <w:pStyle w:val="Normal"/>
              <w:snapToGrid w:val="false"/>
              <w:spacing w:before="200" w:after="200"/>
              <w:rPr>
                <w:rFonts w:ascii="Arial Narrow" w:hAnsi="Arial Narrow" w:cs="Arial"/>
              </w:rPr>
            </w:pPr>
            <w:r>
              <w:rPr>
                <w:rFonts w:cs="Arial" w:ascii="Arial Narrow" w:hAnsi="Arial Narrow"/>
                <w:sz w:val="22"/>
              </w:rPr>
              <w:t xml:space="preserve">Provides clear explanation of why the facts support or do not support reporting to the Board.  </w:t>
            </w:r>
          </w:p>
          <w:p>
            <w:pPr>
              <w:pStyle w:val="Normal"/>
              <w:snapToGrid w:val="false"/>
              <w:spacing w:before="200" w:after="200"/>
              <w:rPr>
                <w:rFonts w:ascii="Arial Narrow" w:hAnsi="Arial Narrow" w:cs="Arial"/>
              </w:rPr>
            </w:pPr>
            <w:r>
              <w:rPr>
                <w:rFonts w:cs="Arial" w:ascii="Arial Narrow" w:hAnsi="Arial Narrow"/>
                <w:sz w:val="22"/>
              </w:rPr>
              <w:t>(70-80 points)</w:t>
            </w:r>
          </w:p>
        </w:tc>
        <w:tc>
          <w:tcPr>
            <w:tcW w:w="2189" w:type="dxa"/>
            <w:tcBorders>
              <w:start w:val="single" w:sz="4" w:space="0" w:color="000000"/>
              <w:bottom w:val="single" w:sz="4" w:space="0" w:color="000000"/>
              <w:insideH w:val="single" w:sz="4" w:space="0" w:color="000000"/>
            </w:tcBorders>
            <w:shd w:fill="auto" w:val="clear"/>
            <w:tcMar>
              <w:start w:w="103" w:type="dxa"/>
            </w:tcMar>
          </w:tcPr>
          <w:p>
            <w:pPr>
              <w:pStyle w:val="Normal"/>
              <w:snapToGrid w:val="false"/>
              <w:spacing w:before="200" w:after="200"/>
              <w:rPr>
                <w:rFonts w:ascii="Arial Narrow" w:hAnsi="Arial Narrow" w:cs="Arial"/>
              </w:rPr>
            </w:pPr>
            <w:r>
              <w:rPr>
                <w:rFonts w:cs="Arial" w:ascii="Arial Narrow" w:hAnsi="Arial Narrow"/>
                <w:sz w:val="22"/>
              </w:rPr>
              <w:t xml:space="preserve">Provides explanation for only 2-3 case studies or explanations are not clear. </w:t>
            </w:r>
          </w:p>
          <w:p>
            <w:pPr>
              <w:pStyle w:val="Normal"/>
              <w:spacing w:before="200" w:after="200"/>
              <w:rPr>
                <w:rFonts w:ascii="Arial Narrow" w:hAnsi="Arial Narrow" w:cs="Arial"/>
              </w:rPr>
            </w:pPr>
            <w:r>
              <w:rPr>
                <w:rFonts w:eastAsia="Arial Narrow" w:cs="Arial Narrow" w:ascii="Arial Narrow" w:hAnsi="Arial Narrow"/>
                <w:sz w:val="22"/>
              </w:rPr>
              <w:t xml:space="preserve"> </w:t>
            </w:r>
            <w:r>
              <w:rPr>
                <w:rFonts w:cs="Arial" w:ascii="Arial Narrow" w:hAnsi="Arial Narrow"/>
                <w:sz w:val="22"/>
              </w:rPr>
              <w:t xml:space="preserve">(40-60 points) </w:t>
            </w:r>
          </w:p>
        </w:tc>
        <w:tc>
          <w:tcPr>
            <w:tcW w:w="2199" w:type="dxa"/>
            <w:tcBorders>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snapToGrid w:val="false"/>
              <w:spacing w:before="200" w:after="200"/>
              <w:rPr>
                <w:rFonts w:ascii="Arial Narrow" w:hAnsi="Arial Narrow" w:cs="Arial"/>
              </w:rPr>
            </w:pPr>
            <w:r>
              <w:rPr>
                <w:rFonts w:cs="Arial" w:ascii="Arial Narrow" w:hAnsi="Arial Narrow"/>
                <w:sz w:val="22"/>
              </w:rPr>
              <w:t xml:space="preserve">Does not provide rationales or explanations not clear for most of the cases.  </w:t>
            </w:r>
          </w:p>
          <w:p>
            <w:pPr>
              <w:pStyle w:val="Normal"/>
              <w:snapToGrid w:val="false"/>
              <w:spacing w:before="200" w:after="200"/>
              <w:rPr>
                <w:rFonts w:ascii="Arial Narrow" w:hAnsi="Arial Narrow" w:cs="Arial"/>
              </w:rPr>
            </w:pPr>
            <w:r>
              <w:rPr>
                <w:rFonts w:eastAsia="Arial Narrow" w:cs="Arial Narrow" w:ascii="Arial Narrow" w:hAnsi="Arial Narrow"/>
                <w:sz w:val="22"/>
              </w:rPr>
              <w:t xml:space="preserve"> </w:t>
            </w:r>
            <w:r>
              <w:rPr>
                <w:rFonts w:cs="Arial" w:ascii="Arial Narrow" w:hAnsi="Arial Narrow"/>
                <w:sz w:val="22"/>
              </w:rPr>
              <w:t>(0-30 points)</w:t>
            </w:r>
          </w:p>
        </w:tc>
      </w:tr>
    </w:tbl>
    <w:p>
      <w:pPr>
        <w:pStyle w:val="ACEsubhead2"/>
        <w:spacing w:before="0" w:after="100"/>
        <w:rPr>
          <w:i w:val="false"/>
          <w:i w:val="false"/>
          <w:color w:val="0051BA"/>
          <w:sz w:val="24"/>
        </w:rPr>
      </w:pPr>
      <w:r>
        <w:rPr>
          <w:i w:val="false"/>
          <w:color w:val="0051BA"/>
          <w:sz w:val="24"/>
        </w:rPr>
      </w:r>
      <w:r>
        <w:br w:type="page"/>
      </w:r>
    </w:p>
    <w:p>
      <w:pPr>
        <w:pStyle w:val="Normal"/>
        <w:spacing w:before="0" w:after="100"/>
        <w:rPr>
          <w:rFonts w:ascii="Calibri" w:hAnsi="Calibri" w:eastAsia="Calibri" w:cs="Calibri"/>
          <w:b/>
          <w:b/>
          <w:sz w:val="36"/>
          <w:szCs w:val="36"/>
          <w:lang w:eastAsia="en-US"/>
        </w:rPr>
      </w:pPr>
      <w:r>
        <w:rPr>
          <w:rFonts w:eastAsia="Calibri" w:cs="Calibri" w:ascii="Calibri" w:hAnsi="Calibri"/>
          <w:b/>
          <w:sz w:val="36"/>
          <w:szCs w:val="36"/>
          <w:lang w:eastAsia="en-US"/>
        </w:rPr>
        <w:t>Peer Review Assignment</w:t>
      </w:r>
    </w:p>
    <w:p>
      <w:pPr>
        <w:pStyle w:val="Normal"/>
        <w:widowControl/>
        <w:suppressAutoHyphens w:val="false"/>
        <w:jc w:val="center"/>
        <w:rPr>
          <w:rFonts w:ascii="Calibri" w:hAnsi="Calibri" w:eastAsia="Calibri" w:cs="Calibri"/>
          <w:sz w:val="28"/>
          <w:szCs w:val="28"/>
          <w:lang w:eastAsia="en-US"/>
        </w:rPr>
      </w:pPr>
      <w:r>
        <w:rPr>
          <w:rFonts w:eastAsia="Calibri" w:cs="Calibri" w:ascii="Calibri" w:hAnsi="Calibri"/>
          <w:sz w:val="28"/>
          <w:szCs w:val="28"/>
          <w:lang w:eastAsia="en-US"/>
        </w:rPr>
        <w:t>Minor Incident Rule Case Studies</w:t>
      </w:r>
    </w:p>
    <w:p>
      <w:pPr>
        <w:pStyle w:val="Normal"/>
        <w:widowControl/>
        <w:suppressAutoHyphens w:val="false"/>
        <w:rPr>
          <w:rFonts w:ascii="Calibri" w:hAnsi="Calibri" w:eastAsia="Calibri" w:cs="Calibri"/>
          <w:sz w:val="28"/>
          <w:szCs w:val="28"/>
          <w:lang w:eastAsia="en-US"/>
        </w:rPr>
      </w:pPr>
      <w:r>
        <w:rPr>
          <w:rFonts w:eastAsia="Calibri" w:cs="Calibri" w:ascii="Calibri" w:hAnsi="Calibri"/>
          <w:sz w:val="28"/>
          <w:szCs w:val="28"/>
          <w:lang w:eastAsia="en-US"/>
        </w:rPr>
      </w:r>
    </w:p>
    <w:p>
      <w:pPr>
        <w:pStyle w:val="Normal"/>
        <w:widowControl/>
        <w:suppressAutoHyphens w:val="false"/>
        <w:rPr/>
      </w:pPr>
      <w:r>
        <w:rPr>
          <w:rFonts w:eastAsia="Calibri" w:cs="Calibri" w:ascii="Calibri" w:hAnsi="Calibri"/>
          <w:lang w:eastAsia="en-US"/>
        </w:rPr>
        <w:t xml:space="preserve">Refer to the Board rule 217.16 when answering these 6 questions about 4 incidents to determine if the nurse in the case study must be reported to the board. </w:t>
      </w:r>
      <w:r>
        <w:rPr>
          <w:rFonts w:eastAsia="Calibri" w:cs="Calibri" w:ascii="Calibri" w:hAnsi="Calibri"/>
          <w:sz w:val="22"/>
          <w:szCs w:val="22"/>
          <w:lang w:eastAsia="en-US"/>
        </w:rPr>
        <w:t xml:space="preserve"> </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t xml:space="preserve">Complete the assignment in the template provided below. You will first answer 6 questions for each of the 4 incidents described below.  Then you will determine if the nurse needs to be reported to the Board and provide your rationale for why or why not you think the incident is reportable. For each of the 4 incidents below, these are the questions you will answer;  </w:t>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numPr>
          <w:ilvl w:val="0"/>
          <w:numId w:val="4"/>
        </w:numPr>
        <w:suppressAutoHyphens w:val="false"/>
        <w:spacing w:lineRule="auto" w:line="276" w:before="0" w:after="200"/>
        <w:rPr>
          <w:rFonts w:ascii="Calibri" w:hAnsi="Calibri" w:eastAsia="Calibri" w:cs="Calibri"/>
          <w:b/>
          <w:b/>
          <w:lang w:eastAsia="en-US"/>
        </w:rPr>
      </w:pPr>
      <w:bookmarkStart w:id="0" w:name="_Hlk535152020"/>
      <w:bookmarkEnd w:id="0"/>
      <w:r>
        <w:rPr>
          <w:rFonts w:eastAsia="Calibri" w:cs="Calibri" w:ascii="Calibri" w:hAnsi="Calibri"/>
          <w:b/>
          <w:lang w:eastAsia="en-US"/>
        </w:rPr>
        <w:t>Did a deficit(s) in the nurse’s knowledge, judgment, skills, professional responsibility, or patient advocacy contribute to the incident? </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numPr>
          <w:ilvl w:val="0"/>
          <w:numId w:val="4"/>
        </w:numPr>
        <w:suppressAutoHyphens w:val="false"/>
        <w:spacing w:lineRule="auto" w:line="276" w:before="0" w:after="200"/>
        <w:rPr>
          <w:rFonts w:ascii="Calibri" w:hAnsi="Calibri" w:eastAsia="Calibri" w:cs="Calibri"/>
          <w:b/>
          <w:b/>
          <w:lang w:eastAsia="en-US"/>
        </w:rPr>
      </w:pPr>
      <w:r>
        <w:rPr>
          <w:rFonts w:eastAsia="Calibri" w:cs="Calibri" w:ascii="Calibri" w:hAnsi="Calibri"/>
          <w:b/>
          <w:lang w:eastAsia="en-US"/>
        </w:rPr>
        <w:t>Will remediation address any identified deficit(s)? </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numPr>
          <w:ilvl w:val="0"/>
          <w:numId w:val="4"/>
        </w:numPr>
        <w:suppressAutoHyphens w:val="false"/>
        <w:spacing w:lineRule="auto" w:line="276" w:before="0" w:after="200"/>
        <w:rPr>
          <w:rFonts w:ascii="Calibri" w:hAnsi="Calibri" w:eastAsia="Calibri" w:cs="Calibri"/>
          <w:b/>
          <w:b/>
          <w:lang w:eastAsia="en-US"/>
        </w:rPr>
      </w:pPr>
      <w:r>
        <w:rPr>
          <w:rFonts w:eastAsia="Calibri" w:cs="Calibri" w:ascii="Calibri" w:hAnsi="Calibri"/>
          <w:b/>
          <w:lang w:eastAsia="en-US"/>
        </w:rPr>
        <w:t>Did factors beyond the nurse’s control contribute to the incident?</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numPr>
          <w:ilvl w:val="0"/>
          <w:numId w:val="4"/>
        </w:numPr>
        <w:suppressAutoHyphens w:val="false"/>
        <w:spacing w:lineRule="auto" w:line="276" w:before="0" w:after="200"/>
        <w:rPr>
          <w:rFonts w:ascii="Calibri" w:hAnsi="Calibri" w:eastAsia="Calibri" w:cs="Calibri"/>
          <w:b/>
          <w:b/>
          <w:lang w:eastAsia="en-US"/>
        </w:rPr>
      </w:pPr>
      <w:r>
        <w:rPr>
          <w:rFonts w:eastAsia="Calibri" w:cs="Calibri" w:ascii="Calibri" w:hAnsi="Calibri"/>
          <w:b/>
          <w:lang w:eastAsia="en-US"/>
        </w:rPr>
        <w:t>Would the error still have occurred if there were no factors beyond the nurse’s control that contributed to the error?</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numPr>
          <w:ilvl w:val="0"/>
          <w:numId w:val="4"/>
        </w:numPr>
        <w:suppressAutoHyphens w:val="false"/>
        <w:spacing w:lineRule="auto" w:line="276" w:before="0" w:after="200"/>
        <w:rPr>
          <w:rFonts w:ascii="Calibri" w:hAnsi="Calibri" w:eastAsia="Calibri" w:cs="Calibri"/>
          <w:b/>
          <w:b/>
          <w:lang w:eastAsia="en-US"/>
        </w:rPr>
      </w:pPr>
      <w:r>
        <w:rPr>
          <w:rFonts w:eastAsia="Calibri" w:cs="Calibri" w:ascii="Calibri" w:hAnsi="Calibri"/>
          <w:b/>
          <w:lang w:eastAsia="en-US"/>
        </w:rPr>
        <w:t xml:space="preserve">Did the nurse have more than 1 minor incident (regardless of time frame)?  </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numPr>
          <w:ilvl w:val="0"/>
          <w:numId w:val="4"/>
        </w:numPr>
        <w:suppressAutoHyphens w:val="false"/>
        <w:spacing w:lineRule="auto" w:line="276" w:before="0" w:after="200"/>
        <w:rPr>
          <w:rFonts w:ascii="Calibri" w:hAnsi="Calibri" w:eastAsia="Calibri" w:cs="Calibri"/>
          <w:lang w:eastAsia="en-US"/>
        </w:rPr>
      </w:pPr>
      <w:r>
        <w:rPr>
          <w:rFonts w:eastAsia="Calibri" w:cs="Calibri" w:ascii="Calibri" w:hAnsi="Calibri"/>
          <w:b/>
          <w:lang w:eastAsia="en-US"/>
        </w:rPr>
        <w:t xml:space="preserve">Does any conduct fall into the must report category?  Must report conduct includes the following; </w:t>
      </w:r>
    </w:p>
    <w:p>
      <w:pPr>
        <w:pStyle w:val="Normal"/>
        <w:widowControl/>
        <w:suppressAutoHyphens w:val="false"/>
        <w:ind w:start="720" w:hanging="0"/>
        <w:rPr>
          <w:rFonts w:ascii="Calibri" w:hAnsi="Calibri" w:eastAsia="Calibri" w:cs="Calibri"/>
          <w:lang w:eastAsia="en-US"/>
        </w:rPr>
      </w:pPr>
      <w:bookmarkStart w:id="1" w:name="_Hlk535152020"/>
      <w:bookmarkEnd w:id="1"/>
      <w:r>
        <w:rPr>
          <w:rFonts w:eastAsia="Calibri" w:cs="Calibri" w:ascii="Calibri" w:hAnsi="Calibri"/>
          <w:lang w:eastAsia="en-US"/>
        </w:rPr>
        <w:t>(1) conduct that ignores a substantial risk that exposed a patient or other person to significant physical, emotional or financial harm or the potential for such harm;</w:t>
      </w:r>
    </w:p>
    <w:p>
      <w:pPr>
        <w:pStyle w:val="Normal"/>
        <w:widowControl/>
        <w:suppressAutoHyphens w:val="false"/>
        <w:ind w:start="720" w:hanging="0"/>
        <w:rPr>
          <w:rFonts w:ascii="Calibri" w:hAnsi="Calibri" w:eastAsia="Calibri" w:cs="Calibri"/>
          <w:lang w:eastAsia="en-US"/>
        </w:rPr>
      </w:pPr>
      <w:r>
        <w:rPr>
          <w:rFonts w:eastAsia="Calibri" w:cs="Calibri" w:ascii="Calibri" w:hAnsi="Calibri"/>
          <w:lang w:eastAsia="en-US"/>
        </w:rPr>
        <w:t>(2) conduct that violates the Texas Nursing Practice Act or a Board rule and contributed to the death or serious injury of a patient;</w:t>
      </w:r>
    </w:p>
    <w:p>
      <w:pPr>
        <w:pStyle w:val="Normal"/>
        <w:widowControl/>
        <w:suppressAutoHyphens w:val="false"/>
        <w:ind w:start="720" w:hanging="0"/>
        <w:rPr>
          <w:rFonts w:ascii="Calibri" w:hAnsi="Calibri" w:eastAsia="Calibri" w:cs="Calibri"/>
          <w:lang w:eastAsia="en-US"/>
        </w:rPr>
      </w:pPr>
      <w:r>
        <w:rPr>
          <w:rFonts w:eastAsia="Calibri" w:cs="Calibri" w:ascii="Calibri" w:hAnsi="Calibri"/>
          <w:lang w:eastAsia="en-US"/>
        </w:rPr>
        <w:t>(3) a practice‐related violation involving impairment or suspected impairment by reason of chemical dependency, intemperate use, misuse or abuse of drugs or alcohol, mental illness, or diminished mental capacity;</w:t>
      </w:r>
    </w:p>
    <w:p>
      <w:pPr>
        <w:pStyle w:val="Normal"/>
        <w:widowControl/>
        <w:suppressAutoHyphens w:val="false"/>
        <w:ind w:start="720" w:hanging="0"/>
        <w:rPr/>
      </w:pPr>
      <w:r>
        <w:rPr>
          <w:rFonts w:eastAsia="Calibri" w:cs="Calibri" w:ascii="Calibri" w:hAnsi="Calibri"/>
          <w:lang w:eastAsia="en-US"/>
        </w:rPr>
        <w:t>(4) a violation of Board Rule §217.12 with actions that constitute abuse, exploitation, fraud, or a violation of professional boundaries; or</w:t>
      </w:r>
    </w:p>
    <w:p>
      <w:pPr>
        <w:pStyle w:val="Normal"/>
        <w:widowControl/>
        <w:suppressAutoHyphens w:val="false"/>
        <w:ind w:start="720" w:hanging="0"/>
        <w:rPr>
          <w:rFonts w:ascii="Calibri" w:hAnsi="Calibri" w:eastAsia="Calibri" w:cs="Calibri"/>
          <w:lang w:eastAsia="en-US"/>
        </w:rPr>
      </w:pPr>
      <w:r>
        <w:rPr>
          <w:rFonts w:eastAsia="Calibri" w:cs="Calibri" w:ascii="Calibri" w:hAnsi="Calibri"/>
          <w:lang w:eastAsia="en-US"/>
        </w:rPr>
        <w:t>(5) actions that indicate that the nurse lacks knowledge, skill, judgment, or conscientiousness to such an extent that the nurse's continued practice of nursing could reasonably be expected to pose a risk of harm to a patient or another person, regardless of whether the conduct consists of a single incident or a pattern of behavior.</w:t>
      </w:r>
    </w:p>
    <w:p>
      <w:pPr>
        <w:pStyle w:val="Normal"/>
        <w:widowControl/>
        <w:suppressAutoHyphens w:val="false"/>
        <w:ind w:start="720" w:hanging="0"/>
        <w:rPr>
          <w:rFonts w:ascii="Calibri" w:hAnsi="Calibri" w:eastAsia="Calibri" w:cs="Calibri"/>
          <w:lang w:eastAsia="en-US"/>
        </w:rPr>
      </w:pPr>
      <w:r>
        <w:rPr>
          <w:rFonts w:eastAsia="Calibri" w:cs="Calibri" w:ascii="Calibri" w:hAnsi="Calibri"/>
          <w:lang w:eastAsia="en-US"/>
        </w:rPr>
      </w:r>
    </w:p>
    <w:p>
      <w:pPr>
        <w:pStyle w:val="Normal"/>
        <w:widowControl/>
        <w:suppressAutoHyphens w:val="false"/>
        <w:ind w:start="720" w:hanging="0"/>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b/>
          <w:b/>
          <w:color w:val="4472C4"/>
          <w:sz w:val="28"/>
          <w:szCs w:val="28"/>
          <w:lang w:eastAsia="en-US"/>
        </w:rPr>
      </w:pPr>
      <w:r>
        <w:rPr>
          <w:rFonts w:eastAsia="Calibri" w:cs="Calibri" w:ascii="Calibri" w:hAnsi="Calibri"/>
          <w:b/>
          <w:color w:val="4472C4"/>
          <w:sz w:val="28"/>
          <w:szCs w:val="28"/>
          <w:lang w:eastAsia="en-US"/>
        </w:rPr>
        <w:t xml:space="preserve">Case Studies </w:t>
      </w:r>
    </w:p>
    <w:p>
      <w:pPr>
        <w:pStyle w:val="Normal"/>
        <w:widowControl/>
        <w:suppressAutoHyphens w:val="false"/>
        <w:rPr>
          <w:rFonts w:ascii="Calibri" w:hAnsi="Calibri" w:eastAsia="Calibri" w:cs="Calibri"/>
          <w:b/>
          <w:b/>
          <w:color w:val="4472C4"/>
          <w:sz w:val="28"/>
          <w:szCs w:val="28"/>
          <w:lang w:eastAsia="en-US"/>
        </w:rPr>
      </w:pPr>
      <w:r>
        <w:rPr>
          <w:rFonts w:eastAsia="Calibri" w:cs="Calibri" w:ascii="Calibri" w:hAnsi="Calibri"/>
          <w:b/>
          <w:color w:val="4472C4"/>
          <w:sz w:val="28"/>
          <w:szCs w:val="28"/>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t xml:space="preserve">Provide your answers in the template below. </w:t>
      </w:r>
    </w:p>
    <w:p>
      <w:pPr>
        <w:pStyle w:val="Normal"/>
        <w:widowControl/>
        <w:suppressAutoHyphens w:val="false"/>
        <w:ind w:start="720" w:hanging="0"/>
        <w:rPr>
          <w:rFonts w:ascii="Calibri" w:hAnsi="Calibri" w:eastAsia="Calibri" w:cs="Calibri"/>
          <w:lang w:eastAsia="en-US"/>
        </w:rPr>
      </w:pPr>
      <w:r>
        <w:rPr>
          <w:rFonts w:eastAsia="Calibri" w:cs="Calibri" w:ascii="Calibri" w:hAnsi="Calibri"/>
          <w:lang w:eastAsia="en-US"/>
        </w:rPr>
      </w:r>
    </w:p>
    <w:p>
      <w:pPr>
        <w:pStyle w:val="Normal"/>
        <w:widowControl/>
        <w:numPr>
          <w:ilvl w:val="0"/>
          <w:numId w:val="8"/>
        </w:numPr>
        <w:suppressAutoHyphens w:val="false"/>
        <w:spacing w:lineRule="auto" w:line="276" w:before="0" w:after="200"/>
        <w:rPr>
          <w:rFonts w:ascii="Calibri" w:hAnsi="Calibri" w:eastAsia="Calibri" w:cs="Calibri"/>
          <w:lang w:eastAsia="en-US"/>
        </w:rPr>
      </w:pPr>
      <w:r>
        <w:rPr>
          <w:rFonts w:eastAsia="Calibri" w:cs="Calibri" w:ascii="Calibri" w:hAnsi="Calibri"/>
          <w:lang w:eastAsia="en-US"/>
        </w:rPr>
        <w:t>Nurse A receives a medication from the facility’s pharmacy with a custom drug label that obscures the original label from the manufacturer. Nurse A follows the usual procedure for safe medication administration, checking all of the “medication rights” and using the facility’s medication scanning system. The patient has a mild reaction to the medication. Nurse A notifies the patient’s physician and stabilizes the patient. It is later determined that the wrong medication was administered as the medication label from the pharmacy was incorrect.</w:t>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tbl>
      <w:tblPr>
        <w:tblW w:w="9370" w:type="dxa"/>
        <w:jc w:val="start"/>
        <w:tblInd w:w="80" w:type="dxa"/>
        <w:tblBorders>
          <w:top w:val="single" w:sz="4" w:space="0" w:color="000000"/>
          <w:start w:val="single" w:sz="4" w:space="0" w:color="000000"/>
          <w:bottom w:val="single" w:sz="4" w:space="0" w:color="000000"/>
          <w:insideH w:val="single" w:sz="4" w:space="0" w:color="000000"/>
        </w:tblBorders>
        <w:tblCellMar>
          <w:top w:w="0" w:type="dxa"/>
          <w:start w:w="103" w:type="dxa"/>
          <w:bottom w:w="0" w:type="dxa"/>
          <w:end w:w="108" w:type="dxa"/>
        </w:tblCellMar>
      </w:tblPr>
      <w:tblGrid>
        <w:gridCol w:w="8370"/>
        <w:gridCol w:w="1000"/>
      </w:tblGrid>
      <w:tr>
        <w:trPr/>
        <w:tc>
          <w:tcPr>
            <w:tcW w:w="8370" w:type="dxa"/>
            <w:tcBorders>
              <w:top w:val="single" w:sz="4" w:space="0" w:color="000000"/>
              <w:start w:val="single" w:sz="4" w:space="0" w:color="000000"/>
              <w:bottom w:val="single" w:sz="4" w:space="0" w:color="000000"/>
              <w:insideH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bookmarkStart w:id="2" w:name="_Hlk535757042"/>
            <w:bookmarkEnd w:id="2"/>
            <w:r>
              <w:rPr>
                <w:rFonts w:eastAsia="Calibri" w:cs="Calibri" w:ascii="Calibri" w:hAnsi="Calibri"/>
                <w:sz w:val="22"/>
                <w:szCs w:val="22"/>
                <w:lang w:eastAsia="en-US"/>
              </w:rPr>
              <w:t>Question 1</w:t>
            </w:r>
          </w:p>
        </w:tc>
        <w:tc>
          <w:tcPr>
            <w:tcW w:w="100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Answer Yes/No</w:t>
            </w:r>
          </w:p>
        </w:tc>
      </w:tr>
      <w:tr>
        <w:trPr/>
        <w:tc>
          <w:tcPr>
            <w:tcW w:w="837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5"/>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Did a deficit(s) in the nurse’s knowledge, judgment, skills, professional responsibility, or patient advocacy contribute to the incident?</w:t>
            </w:r>
          </w:p>
        </w:tc>
        <w:tc>
          <w:tcPr>
            <w:tcW w:w="100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37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5"/>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 xml:space="preserve">Will remediation address any identified deficit(s)? </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tc>
        <w:tc>
          <w:tcPr>
            <w:tcW w:w="100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37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5"/>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Did factors beyond the nurse’s control contribute to the incident?</w:t>
            </w:r>
          </w:p>
        </w:tc>
        <w:tc>
          <w:tcPr>
            <w:tcW w:w="100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37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5"/>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Would the error still have occurred if there were no factors beyond the nurse’s control that contributed to the error?</w:t>
            </w:r>
          </w:p>
        </w:tc>
        <w:tc>
          <w:tcPr>
            <w:tcW w:w="100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37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5"/>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Did the nurse have more than 1 minor incident (regardless of time frame)?  </w:t>
            </w:r>
          </w:p>
        </w:tc>
        <w:tc>
          <w:tcPr>
            <w:tcW w:w="100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37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5"/>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Does any conduct fall into the must report category?  </w:t>
            </w:r>
          </w:p>
          <w:p>
            <w:pPr>
              <w:pStyle w:val="Normal"/>
              <w:widowControl/>
              <w:suppressAutoHyphens w:val="false"/>
              <w:ind w:start="360" w:hanging="0"/>
              <w:rPr>
                <w:rFonts w:ascii="Calibri" w:hAnsi="Calibri" w:eastAsia="Calibri" w:cs="Calibri"/>
                <w:sz w:val="22"/>
                <w:szCs w:val="22"/>
                <w:lang w:eastAsia="en-US"/>
              </w:rPr>
            </w:pPr>
            <w:r>
              <w:rPr>
                <w:rFonts w:eastAsia="Calibri" w:cs="Calibri" w:ascii="Calibri" w:hAnsi="Calibri"/>
                <w:sz w:val="22"/>
                <w:szCs w:val="22"/>
                <w:lang w:eastAsia="en-US"/>
              </w:rPr>
            </w:r>
          </w:p>
        </w:tc>
        <w:tc>
          <w:tcPr>
            <w:tcW w:w="100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bl>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b/>
          <w:b/>
          <w:lang w:eastAsia="en-US"/>
        </w:rPr>
      </w:pPr>
      <w:bookmarkStart w:id="3" w:name="_Hlk535757127"/>
      <w:bookmarkStart w:id="4" w:name="_Hlk535153539"/>
      <w:bookmarkStart w:id="5" w:name="_Hlk535152044"/>
      <w:bookmarkEnd w:id="3"/>
      <w:bookmarkEnd w:id="4"/>
      <w:bookmarkEnd w:id="5"/>
      <w:r>
        <w:rPr>
          <w:rFonts w:eastAsia="Calibri" w:cs="Calibri" w:ascii="Calibri" w:hAnsi="Calibri"/>
          <w:b/>
          <w:lang w:eastAsia="en-US"/>
        </w:rPr>
        <w:t>Next steps: Does the nurse need to be reported to the Board? Yes or No</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t xml:space="preserve">Provide your rationale for why or why not the nurse should be reported to the Board. </w:t>
      </w:r>
    </w:p>
    <w:p>
      <w:pPr>
        <w:pStyle w:val="Normal"/>
        <w:widowControl/>
        <w:suppressAutoHyphens w:val="false"/>
        <w:rPr>
          <w:rFonts w:ascii="Calibri" w:hAnsi="Calibri" w:eastAsia="Calibri" w:cs="Calibri"/>
          <w:b/>
          <w:b/>
          <w:lang w:eastAsia="en-US"/>
        </w:rPr>
      </w:pPr>
      <w:bookmarkStart w:id="6" w:name="_Hlk535153539"/>
      <w:bookmarkStart w:id="7" w:name="_Hlk535152044"/>
      <w:bookmarkStart w:id="8" w:name="_Hlk535153539"/>
      <w:bookmarkStart w:id="9" w:name="_Hlk535152044"/>
      <w:bookmarkEnd w:id="8"/>
      <w:bookmarkEnd w:id="9"/>
      <w:r>
        <w:rPr>
          <w:rFonts w:eastAsia="Calibri" w:cs="Calibri" w:ascii="Calibri" w:hAnsi="Calibri"/>
          <w:b/>
          <w:lang w:eastAsia="en-US"/>
        </w:rPr>
      </w:r>
    </w:p>
    <w:p>
      <w:pPr>
        <w:pStyle w:val="Normal"/>
        <w:widowControl/>
        <w:suppressAutoHyphens w:val="false"/>
        <w:rPr>
          <w:rFonts w:ascii="Calibri" w:hAnsi="Calibri" w:eastAsia="Calibri" w:cs="Calibri"/>
          <w:b/>
          <w:b/>
          <w:lang w:eastAsia="en-US"/>
        </w:rPr>
      </w:pPr>
      <w:bookmarkStart w:id="10" w:name="_Hlk535757127"/>
      <w:bookmarkStart w:id="11" w:name="_Hlk535757127"/>
      <w:bookmarkEnd w:id="11"/>
      <w:r>
        <w:rPr>
          <w:rFonts w:eastAsia="Calibri" w:cs="Calibri" w:ascii="Calibri" w:hAnsi="Calibri"/>
          <w:b/>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t>2. Nurse B is assigned to pass medications to 30 patients and has a medication cart with the medications for all 30 patients. When administering medications to one patient, Nurse B fails to check the medication packaging carefully or use the scanning system, accidentally giving the wrong medication to the patient. Nurse B later notices the wrong medication was given to the patient and notifies the patient’s physician. The physician orders Nurse B to monitor the patient for adverse reactions. The patient does not have any adverse reactions.</w:t>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tbl>
      <w:tblPr>
        <w:tblW w:w="9460" w:type="dxa"/>
        <w:jc w:val="start"/>
        <w:tblInd w:w="-10" w:type="dxa"/>
        <w:tblBorders>
          <w:top w:val="single" w:sz="4" w:space="0" w:color="000000"/>
          <w:start w:val="single" w:sz="4" w:space="0" w:color="000000"/>
          <w:bottom w:val="single" w:sz="4" w:space="0" w:color="000000"/>
          <w:insideH w:val="single" w:sz="4" w:space="0" w:color="000000"/>
        </w:tblBorders>
        <w:tblCellMar>
          <w:top w:w="0" w:type="dxa"/>
          <w:start w:w="103" w:type="dxa"/>
          <w:bottom w:w="0" w:type="dxa"/>
          <w:end w:w="108" w:type="dxa"/>
        </w:tblCellMar>
      </w:tblPr>
      <w:tblGrid>
        <w:gridCol w:w="8190"/>
        <w:gridCol w:w="1270"/>
      </w:tblGrid>
      <w:tr>
        <w:trPr/>
        <w:tc>
          <w:tcPr>
            <w:tcW w:w="8190" w:type="dxa"/>
            <w:tcBorders>
              <w:top w:val="single" w:sz="4" w:space="0" w:color="000000"/>
              <w:start w:val="single" w:sz="4" w:space="0" w:color="000000"/>
              <w:bottom w:val="single" w:sz="4" w:space="0" w:color="000000"/>
              <w:insideH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Question 2</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Answer Yes/No</w:t>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6"/>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Did a deficit(s) in the nurse’s knowledge, judgment, skills, professional responsibility, or patient advocacy contribute to the incident?</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6"/>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 xml:space="preserve">Will remediation address any identified deficit(s)? </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rHeight w:val="773" w:hRule="atLeast"/>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6"/>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Did factors beyond the nurse’s control contribute to the incident?</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6"/>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Would the error still have occurred if there were no factors beyond the nurse’s control that contributed to the error?</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6"/>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Did the nurse have more than 1 minor incident (regardless of time frame)?  </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6"/>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Does any conduct fall into the must report category?  </w:t>
            </w:r>
          </w:p>
          <w:p>
            <w:pPr>
              <w:pStyle w:val="Normal"/>
              <w:widowControl/>
              <w:suppressAutoHyphens w:val="false"/>
              <w:ind w:start="360" w:hanging="0"/>
              <w:rPr>
                <w:rFonts w:ascii="Calibri" w:hAnsi="Calibri" w:eastAsia="Calibri" w:cs="Calibri"/>
                <w:sz w:val="22"/>
                <w:szCs w:val="22"/>
                <w:lang w:eastAsia="en-US"/>
              </w:rPr>
            </w:pPr>
            <w:r>
              <w:rPr>
                <w:rFonts w:eastAsia="Calibri" w:cs="Calibri" w:ascii="Calibri" w:hAnsi="Calibri"/>
                <w:sz w:val="22"/>
                <w:szCs w:val="22"/>
                <w:lang w:eastAsia="en-US"/>
              </w:rPr>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bl>
    <w:p>
      <w:pPr>
        <w:pStyle w:val="Normal"/>
        <w:widowControl/>
        <w:suppressAutoHyphens w:val="false"/>
        <w:ind w:start="720" w:hanging="0"/>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t>Next steps: Does the nurse need to be reported to the Board? Yes or No</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t xml:space="preserve">Provide your rationale for why or why not the nurse should be reported to the Board. </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numPr>
          <w:ilvl w:val="0"/>
          <w:numId w:val="3"/>
        </w:numPr>
        <w:suppressAutoHyphens w:val="false"/>
        <w:spacing w:lineRule="auto" w:line="276" w:before="0" w:after="200"/>
        <w:rPr>
          <w:rFonts w:ascii="Calibri" w:hAnsi="Calibri" w:eastAsia="Calibri" w:cs="Calibri"/>
          <w:lang w:eastAsia="en-US"/>
        </w:rPr>
      </w:pPr>
      <w:r>
        <w:rPr>
          <w:rFonts w:eastAsia="Calibri" w:cs="Calibri" w:ascii="Calibri" w:hAnsi="Calibri"/>
          <w:lang w:eastAsia="en-US"/>
        </w:rPr>
        <w:t>Nurse C works at a facility where patients reside for extended periods of time. Nurse C is familiar with the routine medications ordered for patients. On one of Nurse C’s shifts, the medication scanning system and the electronic medical record are not functional for a two-hour period. It is during this time that Nurse C administers one of the patient’s routine medications. When the computer system comes back online, Nurse C documents the medication administration and discovers that there was a recent medication dose change in the system from the patient’s physician. Nurse C contacts the doctor and reports the dose error. There are no new orders received and the patient is stable without any negative effects. Nurse C also completes an incident report.</w:t>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tbl>
      <w:tblPr>
        <w:tblW w:w="9280" w:type="dxa"/>
        <w:jc w:val="start"/>
        <w:tblInd w:w="80" w:type="dxa"/>
        <w:tblBorders>
          <w:top w:val="single" w:sz="4" w:space="0" w:color="000000"/>
          <w:start w:val="single" w:sz="4" w:space="0" w:color="000000"/>
          <w:bottom w:val="single" w:sz="4" w:space="0" w:color="000000"/>
          <w:insideH w:val="single" w:sz="4" w:space="0" w:color="000000"/>
        </w:tblBorders>
        <w:tblCellMar>
          <w:top w:w="0" w:type="dxa"/>
          <w:start w:w="103" w:type="dxa"/>
          <w:bottom w:w="0" w:type="dxa"/>
          <w:end w:w="108" w:type="dxa"/>
        </w:tblCellMar>
      </w:tblPr>
      <w:tblGrid>
        <w:gridCol w:w="8190"/>
        <w:gridCol w:w="1090"/>
      </w:tblGrid>
      <w:tr>
        <w:trPr/>
        <w:tc>
          <w:tcPr>
            <w:tcW w:w="8190" w:type="dxa"/>
            <w:tcBorders>
              <w:top w:val="single" w:sz="4" w:space="0" w:color="000000"/>
              <w:start w:val="single" w:sz="4" w:space="0" w:color="000000"/>
              <w:bottom w:val="single" w:sz="4" w:space="0" w:color="000000"/>
              <w:insideH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Question 3</w:t>
            </w:r>
          </w:p>
        </w:tc>
        <w:tc>
          <w:tcPr>
            <w:tcW w:w="109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Answer Yes/No</w:t>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7"/>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Did a deficit(s) in the nurse’s knowledge, judgment, skills, professional responsibility, or patient advocacy contribute to the incident?</w:t>
            </w:r>
          </w:p>
        </w:tc>
        <w:tc>
          <w:tcPr>
            <w:tcW w:w="109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7"/>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 xml:space="preserve">Will remediation address any identified deficit(s)? </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tc>
        <w:tc>
          <w:tcPr>
            <w:tcW w:w="109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7"/>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Did factors beyond the nurse’s control contribute to the incident?</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tc>
        <w:tc>
          <w:tcPr>
            <w:tcW w:w="109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7"/>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Would the error still have occurred if there were no factors beyond the nurse’s control that contributed to the error?</w:t>
            </w:r>
          </w:p>
        </w:tc>
        <w:tc>
          <w:tcPr>
            <w:tcW w:w="109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7"/>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Did the nurse have more than 1 minor incident (regardless of time frame)?  </w:t>
            </w:r>
          </w:p>
        </w:tc>
        <w:tc>
          <w:tcPr>
            <w:tcW w:w="109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7"/>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Does any conduct fall into the must report category?  </w:t>
            </w:r>
          </w:p>
        </w:tc>
        <w:tc>
          <w:tcPr>
            <w:tcW w:w="109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bl>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t>Next steps: Does the nurse need to be reported to the Board? Yes or No</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t xml:space="preserve">Provide your rationale for why or why not the nurse should be reported to the Board. </w:t>
      </w:r>
    </w:p>
    <w:p>
      <w:pPr>
        <w:pStyle w:val="Normal"/>
        <w:widowControl/>
        <w:suppressAutoHyphens w:val="false"/>
        <w:ind w:start="720" w:hanging="0"/>
        <w:rPr>
          <w:rFonts w:ascii="Calibri" w:hAnsi="Calibri" w:eastAsia="Calibri" w:cs="Calibri"/>
          <w:b/>
          <w:b/>
          <w:lang w:eastAsia="en-US"/>
        </w:rPr>
      </w:pPr>
      <w:r>
        <w:rPr>
          <w:rFonts w:eastAsia="Calibri" w:cs="Calibri" w:ascii="Calibri" w:hAnsi="Calibri"/>
          <w:b/>
          <w:lang w:eastAsia="en-US"/>
        </w:rPr>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numPr>
          <w:ilvl w:val="0"/>
          <w:numId w:val="3"/>
        </w:numPr>
        <w:suppressAutoHyphens w:val="false"/>
        <w:spacing w:lineRule="auto" w:line="276" w:before="0" w:after="200"/>
        <w:rPr>
          <w:rFonts w:ascii="Calibri" w:hAnsi="Calibri" w:eastAsia="Calibri" w:cs="Calibri"/>
          <w:lang w:eastAsia="en-US"/>
        </w:rPr>
      </w:pPr>
      <w:r>
        <w:rPr>
          <w:rFonts w:eastAsia="Calibri" w:cs="Calibri" w:ascii="Calibri" w:hAnsi="Calibri"/>
          <w:lang w:eastAsia="en-US"/>
        </w:rPr>
        <w:t>Nurse D has orders to administer an intravenous (IV) medication to a patient every eight hours. When Nurse D proceeds to hang the next dose of the medication, the medication bag will not scan using the facility’s medication scanning system. After several failed attempts to get the new medication to scan, Nurse D retrieves the medication bag that was last administered from the trash can to scan the label on that medication bag, and it scans successfully. The patient has a moderate reaction. The next shift discovers the wrong medication hanging and notifies the charge nurse. Upon investigation of the incident by Nurse D’s manager, Nurse D only admits to this conduct after initially trying to conceal it. Nurse D reluctantly admits to the supervisor that the medication would not scan, so the prior bag from the trash can was used to bypass the system and get the medication to scan.</w:t>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lang w:eastAsia="en-US"/>
        </w:rPr>
      </w:pPr>
      <w:r>
        <w:rPr>
          <w:rFonts w:eastAsia="Calibri" w:cs="Calibri" w:ascii="Calibri" w:hAnsi="Calibri"/>
          <w:lang w:eastAsia="en-US"/>
        </w:rPr>
      </w:r>
    </w:p>
    <w:tbl>
      <w:tblPr>
        <w:tblW w:w="9460" w:type="dxa"/>
        <w:jc w:val="start"/>
        <w:tblInd w:w="-10" w:type="dxa"/>
        <w:tblBorders>
          <w:top w:val="single" w:sz="4" w:space="0" w:color="000000"/>
          <w:start w:val="single" w:sz="4" w:space="0" w:color="000000"/>
          <w:bottom w:val="single" w:sz="4" w:space="0" w:color="000000"/>
          <w:insideH w:val="single" w:sz="4" w:space="0" w:color="000000"/>
        </w:tblBorders>
        <w:tblCellMar>
          <w:top w:w="0" w:type="dxa"/>
          <w:start w:w="103" w:type="dxa"/>
          <w:bottom w:w="0" w:type="dxa"/>
          <w:end w:w="108" w:type="dxa"/>
        </w:tblCellMar>
      </w:tblPr>
      <w:tblGrid>
        <w:gridCol w:w="8190"/>
        <w:gridCol w:w="1270"/>
      </w:tblGrid>
      <w:tr>
        <w:trPr/>
        <w:tc>
          <w:tcPr>
            <w:tcW w:w="8190" w:type="dxa"/>
            <w:tcBorders>
              <w:top w:val="single" w:sz="4" w:space="0" w:color="000000"/>
              <w:start w:val="single" w:sz="4" w:space="0" w:color="000000"/>
              <w:bottom w:val="single" w:sz="4" w:space="0" w:color="000000"/>
              <w:insideH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Question 4</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BFBFBF" w:val="clear"/>
            <w:tcMar>
              <w:start w:w="103" w:type="dxa"/>
            </w:tcMar>
          </w:tcPr>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t>Answer Yes/No</w:t>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9"/>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Did a deficit(s) in the nurse’s knowledge, judgment, skills, professional responsibility, or patient advocacy contribute to the incident?</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9"/>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 xml:space="preserve">Will remediation address any identified deficit(s)? </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9"/>
              </w:numPr>
              <w:suppressAutoHyphens w:val="false"/>
              <w:spacing w:before="0" w:after="0"/>
              <w:contextualSpacing/>
              <w:rPr>
                <w:rFonts w:ascii="Calibri" w:hAnsi="Calibri" w:eastAsia="Calibri" w:cs="Calibri"/>
                <w:sz w:val="22"/>
                <w:szCs w:val="22"/>
                <w:lang w:eastAsia="en-US"/>
              </w:rPr>
            </w:pPr>
            <w:r>
              <w:rPr>
                <w:rFonts w:eastAsia="Calibri" w:cs="Calibri" w:ascii="Calibri" w:hAnsi="Calibri"/>
                <w:sz w:val="22"/>
                <w:szCs w:val="22"/>
                <w:lang w:eastAsia="en-US"/>
              </w:rPr>
              <w:t>Did factors beyond the nurse’s control contribute to the incident?</w:t>
            </w:r>
          </w:p>
          <w:p>
            <w:pPr>
              <w:pStyle w:val="Normal"/>
              <w:widowControl/>
              <w:suppressAutoHyphens w:val="false"/>
              <w:rPr>
                <w:rFonts w:ascii="Calibri" w:hAnsi="Calibri" w:eastAsia="Calibri" w:cs="Calibri"/>
                <w:sz w:val="22"/>
                <w:szCs w:val="22"/>
                <w:lang w:eastAsia="en-US"/>
              </w:rPr>
            </w:pPr>
            <w:r>
              <w:rPr>
                <w:rFonts w:eastAsia="Calibri" w:cs="Calibri" w:ascii="Calibri" w:hAnsi="Calibri"/>
                <w:sz w:val="22"/>
                <w:szCs w:val="22"/>
                <w:lang w:eastAsia="en-US"/>
              </w:rPr>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9"/>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Would the error still have occurred if there were no factors beyond the nurse’s control that contributed to the error?</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9"/>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Did the nurse have more than 1 minor incident (regardless of time frame)?  </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r>
        <w:trPr/>
        <w:tc>
          <w:tcPr>
            <w:tcW w:w="8190" w:type="dxa"/>
            <w:tcBorders>
              <w:top w:val="single" w:sz="4" w:space="0" w:color="000000"/>
              <w:start w:val="single" w:sz="4" w:space="0" w:color="000000"/>
              <w:bottom w:val="single" w:sz="4" w:space="0" w:color="000000"/>
              <w:insideH w:val="single" w:sz="4" w:space="0" w:color="000000"/>
            </w:tcBorders>
            <w:shd w:fill="auto" w:val="clear"/>
            <w:tcMar>
              <w:start w:w="103" w:type="dxa"/>
            </w:tcMar>
          </w:tcPr>
          <w:p>
            <w:pPr>
              <w:pStyle w:val="Normal"/>
              <w:widowControl/>
              <w:numPr>
                <w:ilvl w:val="0"/>
                <w:numId w:val="9"/>
              </w:numPr>
              <w:suppressAutoHyphens w:val="false"/>
              <w:rPr>
                <w:rFonts w:ascii="Calibri" w:hAnsi="Calibri" w:eastAsia="Calibri" w:cs="Calibri"/>
                <w:sz w:val="22"/>
                <w:szCs w:val="22"/>
                <w:lang w:eastAsia="en-US"/>
              </w:rPr>
            </w:pPr>
            <w:r>
              <w:rPr>
                <w:rFonts w:eastAsia="Calibri" w:cs="Calibri" w:ascii="Calibri" w:hAnsi="Calibri"/>
                <w:sz w:val="22"/>
                <w:szCs w:val="22"/>
                <w:lang w:eastAsia="en-US"/>
              </w:rPr>
              <w:t xml:space="preserve">Does any conduct fall into the must report category?  </w:t>
            </w:r>
          </w:p>
        </w:tc>
        <w:tc>
          <w:tcPr>
            <w:tcW w:w="1270" w:type="dxa"/>
            <w:tcBorders>
              <w:top w:val="single" w:sz="4" w:space="0" w:color="000000"/>
              <w:start w:val="single" w:sz="4" w:space="0" w:color="000000"/>
              <w:bottom w:val="single" w:sz="4" w:space="0" w:color="000000"/>
              <w:end w:val="single" w:sz="4" w:space="0" w:color="000000"/>
              <w:insideH w:val="single" w:sz="4" w:space="0" w:color="000000"/>
              <w:insideV w:val="single" w:sz="4" w:space="0" w:color="000000"/>
            </w:tcBorders>
            <w:shd w:fill="auto" w:val="clear"/>
            <w:tcMar>
              <w:start w:w="103" w:type="dxa"/>
            </w:tcMar>
          </w:tcPr>
          <w:p>
            <w:pPr>
              <w:pStyle w:val="Normal"/>
              <w:widowControl/>
              <w:suppressAutoHyphens w:val="false"/>
              <w:snapToGrid w:val="false"/>
              <w:rPr>
                <w:rFonts w:ascii="Calibri" w:hAnsi="Calibri" w:eastAsia="Calibri" w:cs="Calibri"/>
                <w:sz w:val="22"/>
                <w:szCs w:val="22"/>
                <w:lang w:eastAsia="en-US"/>
              </w:rPr>
            </w:pPr>
            <w:r>
              <w:rPr>
                <w:rFonts w:eastAsia="Calibri" w:cs="Calibri" w:ascii="Calibri" w:hAnsi="Calibri"/>
                <w:sz w:val="22"/>
                <w:szCs w:val="22"/>
                <w:lang w:eastAsia="en-US"/>
              </w:rPr>
            </w:r>
          </w:p>
        </w:tc>
      </w:tr>
    </w:tbl>
    <w:p>
      <w:pPr>
        <w:pStyle w:val="Normal"/>
        <w:widowControl/>
        <w:suppressAutoHyphens w:val="false"/>
        <w:rPr>
          <w:rFonts w:ascii="Calibri" w:hAnsi="Calibri" w:eastAsia="Calibri" w:cs="Calibri"/>
          <w:lang w:eastAsia="en-US"/>
        </w:rPr>
      </w:pPr>
      <w:r>
        <w:rPr>
          <w:rFonts w:eastAsia="Calibri" w:cs="Calibri" w:ascii="Calibri" w:hAnsi="Calibri"/>
          <w:lang w:eastAsia="en-US"/>
        </w:rPr>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t>Next steps: Does the nurse need to be reported to the Board? Yes or No</w:t>
      </w:r>
    </w:p>
    <w:p>
      <w:pPr>
        <w:pStyle w:val="Normal"/>
        <w:widowControl/>
        <w:suppressAutoHyphens w:val="false"/>
        <w:rPr>
          <w:rFonts w:ascii="Calibri" w:hAnsi="Calibri" w:eastAsia="Calibri" w:cs="Calibri"/>
          <w:b/>
          <w:b/>
          <w:lang w:eastAsia="en-US"/>
        </w:rPr>
      </w:pPr>
      <w:r>
        <w:rPr>
          <w:rFonts w:eastAsia="Calibri" w:cs="Calibri" w:ascii="Calibri" w:hAnsi="Calibri"/>
          <w:b/>
          <w:lang w:eastAsia="en-US"/>
        </w:rPr>
      </w:r>
    </w:p>
    <w:p>
      <w:pPr>
        <w:pStyle w:val="Normal"/>
        <w:spacing w:before="0" w:after="100"/>
        <w:rPr>
          <w:rFonts w:ascii="Arial" w:hAnsi="Arial" w:cs="Arial"/>
          <w:b/>
          <w:b/>
          <w:color w:val="0051BA"/>
          <w:szCs w:val="22"/>
        </w:rPr>
      </w:pPr>
      <w:r>
        <w:rPr>
          <w:rFonts w:eastAsia="Calibri" w:cs="Calibri" w:ascii="Calibri" w:hAnsi="Calibri"/>
          <w:b/>
          <w:lang w:eastAsia="en-US"/>
        </w:rPr>
        <w:t>Provide your rationale for why or why not the nurse should be reported to the Board.</w:t>
      </w:r>
    </w:p>
    <w:p>
      <w:pPr>
        <w:pStyle w:val="Normal"/>
        <w:spacing w:before="0" w:after="100"/>
        <w:rPr>
          <w:rFonts w:ascii="Arial" w:hAnsi="Arial" w:cs="Arial"/>
          <w:b/>
          <w:b/>
          <w:color w:val="0051BA"/>
          <w:szCs w:val="22"/>
        </w:rPr>
      </w:pPr>
      <w:r>
        <w:rPr>
          <w:rFonts w:cs="Arial" w:ascii="Arial" w:hAnsi="Arial"/>
          <w:b/>
          <w:color w:val="0051BA"/>
          <w:szCs w:val="22"/>
        </w:rPr>
      </w:r>
    </w:p>
    <w:sectPr>
      <w:headerReference w:type="default" r:id="rId2"/>
      <w:footerReference w:type="default" r:id="rId3"/>
      <w:type w:val="nextPage"/>
      <w:pgSz w:w="12240" w:h="15840"/>
      <w:pgMar w:left="1296" w:right="1296" w:header="720" w:top="1350" w:footer="720" w:bottom="1080" w:gutter="0"/>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w:altName w:val="Times New Roman"/>
    <w:charset w:val="00" w:characterSet="windows-1252"/>
    <w:family w:val="roman"/>
    <w:pitch w:val="variable"/>
  </w:font>
  <w:font w:name="Tahoma">
    <w:charset w:val="00" w:characterSet="windows-1252"/>
    <w:family w:val="swiss"/>
    <w:pitch w:val="variable"/>
  </w:font>
  <w:font w:name="Symbol">
    <w:charset w:val="01"/>
    <w:family w:val="roman"/>
    <w:pitch w:val="variable"/>
  </w:font>
  <w:font w:name="Wingdings">
    <w:charset w:val="02"/>
    <w:family w:val="auto"/>
    <w:pitch w:val="variable"/>
  </w:font>
  <w:font w:name="Courier New">
    <w:charset w:val="00" w:characterSet="windows-1252"/>
    <w:family w:val="modern"/>
    <w:pitch w:val="default"/>
  </w:font>
  <w:font w:name="StarSymbol">
    <w:altName w:val="Arial Unicode MS"/>
    <w:charset w:val="00" w:characterSet="windows-1252"/>
    <w:family w:val="auto"/>
    <w:pitch w:val="default"/>
  </w:font>
  <w:font w:name="Calibri">
    <w:charset w:val="00" w:characterSet="windows-1252"/>
    <w:family w:val="swiss"/>
    <w:pitch w:val="variable"/>
  </w:font>
  <w:font w:name="Times-Roman">
    <w:altName w:val="Times New Roman"/>
    <w:charset w:val="00" w:characterSet="windows-1252"/>
    <w:family w:val="auto"/>
    <w:pitch w:val="default"/>
  </w:font>
  <w:font w:name="MyriadPro-Regular">
    <w:altName w:val="Times New Roman"/>
    <w:charset w:val="00" w:characterSet="windows-1252"/>
    <w:family w:val="auto"/>
    <w:pitch w:val="default"/>
  </w:font>
  <w:font w:name="Arial Narrow">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864" w:type="dxa"/>
      <w:jc w:val="start"/>
      <w:tblInd w:w="0" w:type="dxa"/>
      <w:tblBorders>
        <w:top w:val="single" w:sz="18" w:space="0" w:color="808080"/>
      </w:tblBorders>
      <w:tblCellMar>
        <w:top w:w="0" w:type="dxa"/>
        <w:start w:w="108" w:type="dxa"/>
        <w:bottom w:w="0" w:type="dxa"/>
        <w:end w:w="108" w:type="dxa"/>
      </w:tblCellMar>
    </w:tblPr>
    <w:tblGrid>
      <w:gridCol w:w="1022"/>
      <w:gridCol w:w="8842"/>
    </w:tblGrid>
    <w:tr>
      <w:trPr/>
      <w:tc>
        <w:tcPr>
          <w:tcW w:w="1022" w:type="dxa"/>
          <w:tcBorders>
            <w:top w:val="single" w:sz="18" w:space="0" w:color="808080"/>
          </w:tcBorders>
          <w:shd w:fill="auto" w:val="clear"/>
        </w:tcPr>
        <w:p>
          <w:pPr>
            <w:pStyle w:val="Footer"/>
            <w:jc w:val="end"/>
            <w:rPr>
              <w:b/>
              <w:b/>
              <w:color w:val="4F81BD"/>
              <w:sz w:val="32"/>
              <w:szCs w:val="32"/>
            </w:rPr>
          </w:pPr>
          <w:r>
            <w:rPr/>
            <w:fldChar w:fldCharType="begin"/>
          </w:r>
          <w:r>
            <w:instrText> PAGE </w:instrText>
          </w:r>
          <w:r>
            <w:fldChar w:fldCharType="separate"/>
          </w:r>
          <w:r>
            <w:t>6</w:t>
          </w:r>
          <w:r>
            <w:fldChar w:fldCharType="end"/>
          </w:r>
        </w:p>
      </w:tc>
      <w:tc>
        <w:tcPr>
          <w:tcW w:w="8842" w:type="dxa"/>
          <w:tcBorders>
            <w:top w:val="single" w:sz="18" w:space="0" w:color="808080"/>
            <w:start w:val="single" w:sz="18" w:space="0" w:color="808080"/>
          </w:tcBorders>
          <w:shd w:fill="auto" w:val="clear"/>
          <w:tcMar>
            <w:start w:w="85" w:type="dxa"/>
          </w:tcMar>
        </w:tcPr>
        <w:p>
          <w:pPr>
            <w:pStyle w:val="Footer"/>
            <w:snapToGrid w:val="false"/>
            <w:rPr>
              <w:b/>
              <w:b/>
              <w:color w:val="4F81BD"/>
              <w:sz w:val="32"/>
              <w:szCs w:val="32"/>
            </w:rPr>
          </w:pPr>
          <w:r>
            <w:rPr>
              <w:b/>
              <w:color w:val="4F81BD"/>
              <w:sz w:val="32"/>
              <w:szCs w:val="32"/>
            </w:rPr>
          </w:r>
        </w:p>
      </w:tc>
    </w:tr>
  </w:tbl>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Arial" w:hAnsi="Arial" w:cs="Arial"/>
        <w:b/>
        <w:b/>
        <w:i/>
        <w:i/>
        <w:color w:val="336699"/>
        <w:sz w:val="22"/>
      </w:rPr>
    </w:pPr>
    <w:r>
      <w:rPr>
        <w:rFonts w:cs="Arial" w:ascii="Arial" w:hAnsi="Arial"/>
        <w:b/>
        <w:i/>
        <w:color w:val="336699"/>
        <w:sz w:val="22"/>
      </w:rPr>
      <w:t>Professional Nursing Trends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start"/>
      <w:pPr>
        <w:ind w:start="0" w:hanging="0"/>
      </w:pPr>
      <w:rPr/>
    </w:lvl>
    <w:lvl w:ilvl="1">
      <w:start w:val="1"/>
      <w:numFmt w:val="none"/>
      <w:suff w:val="nothing"/>
      <w:lvlText w:val=""/>
      <w:lvlJc w:val="start"/>
      <w:pPr>
        <w:tabs>
          <w:tab w:val="num" w:pos="576"/>
        </w:tabs>
        <w:ind w:start="576" w:hanging="576"/>
      </w:pPr>
    </w:lvl>
    <w:lvl w:ilvl="2">
      <w:start w:val="1"/>
      <w:numFmt w:val="none"/>
      <w:suff w:val="nothing"/>
      <w:lvlText w:val=""/>
      <w:lvlJc w:val="start"/>
      <w:pPr>
        <w:tabs>
          <w:tab w:val="num" w:pos="720"/>
        </w:tabs>
        <w:ind w:start="720" w:hanging="720"/>
      </w:pPr>
    </w:lvl>
    <w:lvl w:ilvl="3">
      <w:start w:val="1"/>
      <w:numFmt w:val="none"/>
      <w:suff w:val="nothing"/>
      <w:lvlText w:val=""/>
      <w:lvlJc w:val="start"/>
      <w:pPr>
        <w:tabs>
          <w:tab w:val="num" w:pos="864"/>
        </w:tabs>
        <w:ind w:start="864" w:hanging="864"/>
      </w:pPr>
    </w:lvl>
    <w:lvl w:ilvl="4">
      <w:start w:val="1"/>
      <w:numFmt w:val="none"/>
      <w:suff w:val="nothing"/>
      <w:lvlText w:val=""/>
      <w:lvlJc w:val="start"/>
      <w:pPr>
        <w:tabs>
          <w:tab w:val="num" w:pos="1008"/>
        </w:tabs>
        <w:ind w:start="1008" w:hanging="1008"/>
      </w:pPr>
    </w:lvl>
    <w:lvl w:ilvl="5">
      <w:start w:val="1"/>
      <w:numFmt w:val="none"/>
      <w:suff w:val="nothing"/>
      <w:lvlText w:val=""/>
      <w:lvlJc w:val="start"/>
      <w:pPr>
        <w:tabs>
          <w:tab w:val="num" w:pos="1152"/>
        </w:tabs>
        <w:ind w:start="1152" w:hanging="1152"/>
      </w:pPr>
    </w:lvl>
    <w:lvl w:ilvl="6">
      <w:start w:val="1"/>
      <w:numFmt w:val="none"/>
      <w:suff w:val="nothing"/>
      <w:lvlText w:val=""/>
      <w:lvlJc w:val="start"/>
      <w:pPr>
        <w:tabs>
          <w:tab w:val="num" w:pos="1296"/>
        </w:tabs>
        <w:ind w:start="1296" w:hanging="1296"/>
      </w:pPr>
    </w:lvl>
    <w:lvl w:ilvl="7">
      <w:start w:val="1"/>
      <w:numFmt w:val="none"/>
      <w:suff w:val="nothing"/>
      <w:lvlText w:val=""/>
      <w:lvlJc w:val="start"/>
      <w:pPr>
        <w:tabs>
          <w:tab w:val="num" w:pos="1440"/>
        </w:tabs>
        <w:ind w:start="1440" w:hanging="1440"/>
      </w:pPr>
    </w:lvl>
    <w:lvl w:ilvl="8">
      <w:start w:val="1"/>
      <w:numFmt w:val="none"/>
      <w:suff w:val="nothing"/>
      <w:lvlText w:val=""/>
      <w:lvlJc w:val="start"/>
      <w:pPr>
        <w:tabs>
          <w:tab w:val="num" w:pos="1584"/>
        </w:tabs>
        <w:ind w:start="1584" w:hanging="1584"/>
      </w:pPr>
    </w:lvl>
  </w:abstractNum>
  <w:abstractNum w:abstractNumId="2">
    <w:lvl w:ilvl="0">
      <w:numFmt w:val="none"/>
      <w:suff w:val="nothing"/>
      <w:lvlText w:val=""/>
      <w:lvlJc w:val="start"/>
      <w:pPr>
        <w:ind w:start="0" w:hanging="0"/>
      </w:pPr>
      <w:rPr/>
    </w:lvl>
  </w:abstractNum>
  <w:abstractNum w:abstractNumId="3">
    <w:lvl w:ilvl="0">
      <w:start w:val="3"/>
      <w:numFmt w:val="decimal"/>
      <w:lvlText w:val="%1."/>
      <w:lvlJc w:val="start"/>
      <w:pPr>
        <w:ind w:start="360" w:hanging="360"/>
      </w:pPr>
      <w:rPr/>
    </w:lvl>
  </w:abstractNum>
  <w:abstractNum w:abstractNumId="4">
    <w:lvl w:ilvl="0">
      <w:start w:val="1"/>
      <w:numFmt w:val="decimal"/>
      <w:lvlText w:val="%1."/>
      <w:lvlJc w:val="start"/>
      <w:pPr>
        <w:ind w:start="720" w:hanging="360"/>
      </w:pPr>
      <w:rPr/>
    </w:lvl>
  </w:abstractNum>
  <w:abstractNum w:abstractNumId="5">
    <w:lvl w:ilvl="0">
      <w:start w:val="1"/>
      <w:numFmt w:val="decimal"/>
      <w:lvlText w:val="%1."/>
      <w:lvlJc w:val="start"/>
      <w:pPr>
        <w:ind w:start="720" w:hanging="360"/>
      </w:pPr>
      <w:rPr/>
    </w:lvl>
  </w:abstractNum>
  <w:abstractNum w:abstractNumId="6">
    <w:lvl w:ilvl="0">
      <w:start w:val="1"/>
      <w:numFmt w:val="decimal"/>
      <w:lvlText w:val="%1."/>
      <w:lvlJc w:val="start"/>
      <w:pPr>
        <w:ind w:start="720" w:hanging="360"/>
      </w:pPr>
      <w:rPr/>
    </w:lvl>
  </w:abstractNum>
  <w:abstractNum w:abstractNumId="7">
    <w:lvl w:ilvl="0">
      <w:start w:val="1"/>
      <w:numFmt w:val="decimal"/>
      <w:lvlText w:val="%1."/>
      <w:lvlJc w:val="start"/>
      <w:pPr>
        <w:ind w:start="720" w:hanging="360"/>
      </w:pPr>
      <w:rPr/>
    </w:lvl>
  </w:abstractNum>
  <w:abstractNum w:abstractNumId="8">
    <w:lvl w:ilvl="0">
      <w:start w:val="1"/>
      <w:numFmt w:val="decimal"/>
      <w:lvlText w:val="%1."/>
      <w:lvlJc w:val="start"/>
      <w:pPr>
        <w:ind w:start="360" w:hanging="360"/>
      </w:pPr>
      <w:rPr/>
    </w:lvl>
  </w:abstractNum>
  <w:abstractNum w:abstractNumId="9">
    <w:lvl w:ilvl="0">
      <w:start w:val="1"/>
      <w:numFmt w:val="decimal"/>
      <w:lvlText w:val="%1."/>
      <w:lvlJc w:val="start"/>
      <w:pPr>
        <w:ind w:start="72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Cs w:val="24"/>
        <w:lang w:val="en-US" w:eastAsia="zh-CN" w:bidi="hi-IN"/>
      </w:rPr>
    </w:rPrDefault>
    <w:pPrDefault>
      <w:pPr/>
    </w:pPrDefault>
  </w:docDefaults>
  <w:style w:type="paragraph" w:styleId="Normal">
    <w:name w:val="Normal"/>
    <w:qFormat/>
    <w:pPr>
      <w:widowControl w:val="false"/>
      <w:suppressAutoHyphens w:val="true"/>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numPr>
        <w:ilvl w:val="0"/>
        <w:numId w:val="1"/>
      </w:numPr>
      <w:spacing w:before="240" w:after="60"/>
      <w:outlineLvl w:val="0"/>
      <w:outlineLvl w:val="0"/>
    </w:pPr>
    <w:rPr>
      <w:rFonts w:ascii="Arial" w:hAnsi="Arial" w:cs="Arial"/>
      <w:b/>
      <w:sz w:val="32"/>
      <w:szCs w:val="32"/>
    </w:rPr>
  </w:style>
  <w:style w:type="paragraph" w:styleId="Heading2">
    <w:name w:val="Heading 2"/>
    <w:basedOn w:val="Normal"/>
    <w:next w:val="Normal"/>
    <w:qFormat/>
    <w:pPr>
      <w:keepNext/>
      <w:widowControl/>
      <w:suppressAutoHyphens w:val="false"/>
      <w:jc w:val="center"/>
      <w:outlineLvl w:val="1"/>
    </w:pPr>
    <w:rPr>
      <w:b/>
      <w:bCs/>
      <w:color w:val="008000"/>
      <w:sz w:val="32"/>
    </w:rPr>
  </w:style>
  <w:style w:type="paragraph" w:styleId="Heading3">
    <w:name w:val="Heading 3"/>
    <w:basedOn w:val="Normal"/>
    <w:next w:val="Normal"/>
    <w:qFormat/>
    <w:pPr>
      <w:keepNext/>
      <w:widowControl/>
      <w:suppressAutoHyphens w:val="false"/>
      <w:jc w:val="center"/>
      <w:outlineLvl w:val="2"/>
    </w:pPr>
    <w:rPr>
      <w:rFonts w:ascii="Times" w:hAnsi="Times" w:cs="Times"/>
      <w:b/>
      <w:color w:val="000000"/>
      <w:sz w:val="22"/>
      <w:szCs w:val="20"/>
    </w:rPr>
  </w:style>
  <w:style w:type="paragraph" w:styleId="Heading7">
    <w:name w:val="Heading 7"/>
    <w:basedOn w:val="Normal"/>
    <w:next w:val="Normal"/>
    <w:qFormat/>
    <w:pPr>
      <w:keepNext/>
      <w:widowControl/>
      <w:pBdr>
        <w:top w:val="single" w:sz="8" w:space="1" w:color="000000"/>
        <w:left w:val="single" w:sz="8" w:space="4" w:color="000000"/>
        <w:bottom w:val="single" w:sz="8" w:space="1" w:color="000000"/>
        <w:right w:val="single" w:sz="8" w:space="4" w:color="000000"/>
      </w:pBdr>
      <w:tabs>
        <w:tab w:val="center" w:pos="4716" w:leader="none"/>
        <w:tab w:val="left" w:pos="6180" w:leader="none"/>
      </w:tabs>
      <w:suppressAutoHyphens w:val="false"/>
      <w:jc w:val="center"/>
      <w:outlineLvl w:val="6"/>
    </w:pPr>
    <w:rPr>
      <w:b/>
      <w:bCs/>
    </w:rPr>
  </w:style>
  <w:style w:type="character" w:styleId="WW8Num1z0">
    <w:name w:val="WW8Num1z0"/>
    <w:qFormat/>
    <w:rPr/>
  </w:style>
  <w:style w:type="character" w:styleId="WW8Num2z0">
    <w:name w:val="WW8Num2z0"/>
    <w:qFormat/>
    <w:rPr>
      <w:rFonts w:ascii="Tahoma" w:hAnsi="Tahoma" w:cs="MyriadPro-Regular;Times New Roman"/>
      <w:sz w:val="18"/>
      <w:szCs w:val="18"/>
    </w:rPr>
  </w:style>
  <w:style w:type="character" w:styleId="WW8Num3z0">
    <w:name w:val="WW8Num3z0"/>
    <w:qFormat/>
    <w:rPr>
      <w:rFonts w:ascii="Symbol" w:hAnsi="Symbol" w:cs="MyriadPro-Regular;Times New Roman"/>
      <w:sz w:val="18"/>
      <w:szCs w:val="18"/>
    </w:rPr>
  </w:style>
  <w:style w:type="character" w:styleId="WW8Num4z0">
    <w:name w:val="WW8Num4z0"/>
    <w:qFormat/>
    <w:rPr>
      <w:rFonts w:ascii="Tahoma" w:hAnsi="Tahoma" w:cs="Tahoma"/>
    </w:rPr>
  </w:style>
  <w:style w:type="character" w:styleId="WW8Num5z0">
    <w:name w:val="WW8Num5z0"/>
    <w:qFormat/>
    <w:rPr>
      <w:rFonts w:ascii="Tahoma" w:hAnsi="Tahoma" w:cs="Tahoma"/>
    </w:rPr>
  </w:style>
  <w:style w:type="character" w:styleId="WW8Num6z0">
    <w:name w:val="WW8Num6z0"/>
    <w:qFormat/>
    <w:rPr>
      <w:rFonts w:ascii="Tahoma" w:hAnsi="Tahoma" w:cs="Tahoma"/>
    </w:rPr>
  </w:style>
  <w:style w:type="character" w:styleId="WW8Num6z1">
    <w:name w:val="WW8Num6z1"/>
    <w:qFormat/>
    <w:rPr>
      <w:rFonts w:ascii="Arial" w:hAnsi="Arial" w:cs="Arial"/>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6z4">
    <w:name w:val="WW8Num6z4"/>
    <w:qFormat/>
    <w:rPr>
      <w:rFonts w:ascii="Courier New" w:hAnsi="Courier New" w:cs="Courier New"/>
    </w:rPr>
  </w:style>
  <w:style w:type="character" w:styleId="WW8Num7z0">
    <w:name w:val="WW8Num7z0"/>
    <w:qFormat/>
    <w:rPr>
      <w:rFonts w:ascii="Tahoma" w:hAnsi="Tahoma" w:cs="Tahoma"/>
    </w:rPr>
  </w:style>
  <w:style w:type="character" w:styleId="WW8Num8z0">
    <w:name w:val="WW8Num8z0"/>
    <w:qFormat/>
    <w:rPr>
      <w:rFonts w:ascii="Tahoma" w:hAnsi="Tahoma" w:cs="Tahoma"/>
    </w:rPr>
  </w:style>
  <w:style w:type="character" w:styleId="WW8Num9z0">
    <w:name w:val="WW8Num9z0"/>
    <w:qFormat/>
    <w:rPr>
      <w:rFonts w:ascii="Tahoma" w:hAnsi="Tahoma" w:cs="Tahoma"/>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DefaultParagraphFont">
    <w:name w:val="Default Paragraph Font"/>
    <w:qFormat/>
    <w:rPr/>
  </w:style>
  <w:style w:type="character" w:styleId="AbsatzStandardschriftart">
    <w:name w:val="Absatz-Standardschriftart"/>
    <w:qFormat/>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DefaultParagraphFont">
    <w:name w:val="WW-Default Paragraph Font"/>
    <w:qFormat/>
    <w:rPr/>
  </w:style>
  <w:style w:type="character" w:styleId="WWAbsatzStandardschriftart">
    <w:name w:val="WW-Absatz-Standardschriftart"/>
    <w:qFormat/>
    <w:rPr/>
  </w:style>
  <w:style w:type="character" w:styleId="WW8Num7z4">
    <w:name w:val="WW8Num7z4"/>
    <w:qFormat/>
    <w:rPr>
      <w:rFonts w:ascii="Courier New" w:hAnsi="Courier New" w:cs="Courier New"/>
    </w:rPr>
  </w:style>
  <w:style w:type="character" w:styleId="WW8Num9z3">
    <w:name w:val="WW8Num9z3"/>
    <w:qFormat/>
    <w:rPr>
      <w:rFonts w:ascii="Symbol" w:hAnsi="Symbol" w:cs="Symbol"/>
    </w:rPr>
  </w:style>
  <w:style w:type="character" w:styleId="WWDefaultParagraphFont1">
    <w:name w:val="WW-Default Paragraph Font1"/>
    <w:qFormat/>
    <w:rPr/>
  </w:style>
  <w:style w:type="character" w:styleId="WWDefaultParagraphFont11">
    <w:name w:val="WW-Default Paragraph Font11"/>
    <w:qFormat/>
    <w:rPr/>
  </w:style>
  <w:style w:type="character" w:styleId="WWAbsatzStandardschriftart1">
    <w:name w:val="WW-Absatz-Standardschriftart1"/>
    <w:qFormat/>
    <w:rPr/>
  </w:style>
  <w:style w:type="character" w:styleId="WWDefaultParagraphFont111">
    <w:name w:val="WW-Default Paragraph Font111"/>
    <w:qFormat/>
    <w:rPr/>
  </w:style>
  <w:style w:type="character" w:styleId="ACEHeadline">
    <w:name w:val="ACE Headline"/>
    <w:qFormat/>
    <w:rPr>
      <w:rFonts w:ascii="Times New Roman" w:hAnsi="Times New Roman" w:cs="Times New Roman"/>
      <w:color w:val="FFFFFF"/>
      <w:sz w:val="44"/>
      <w:szCs w:val="37"/>
    </w:rPr>
  </w:style>
  <w:style w:type="character" w:styleId="PageNumber">
    <w:name w:val="Page Number"/>
    <w:basedOn w:val="WWDefaultParagraphFont111"/>
    <w:rPr/>
  </w:style>
  <w:style w:type="character" w:styleId="CommentReference">
    <w:name w:val="Comment Reference"/>
    <w:qFormat/>
    <w:rPr>
      <w:sz w:val="16"/>
      <w:szCs w:val="16"/>
    </w:rPr>
  </w:style>
  <w:style w:type="character" w:styleId="InternetLink">
    <w:name w:val="Internet Link"/>
    <w:rPr>
      <w:color w:val="0000FF"/>
      <w:u w:val="single"/>
    </w:rPr>
  </w:style>
  <w:style w:type="character" w:styleId="StrongEmphasis">
    <w:name w:val="Strong Emphasis"/>
    <w:qFormat/>
    <w:rPr>
      <w:b/>
      <w:bCs/>
    </w:rPr>
  </w:style>
  <w:style w:type="character" w:styleId="ACEbodyChar">
    <w:name w:val="ACE body Char"/>
    <w:qFormat/>
    <w:rPr>
      <w:rFonts w:ascii="Arial" w:hAnsi="Arial" w:cs="Arial"/>
      <w:sz w:val="22"/>
      <w:szCs w:val="24"/>
      <w:lang w:val="en-US" w:bidi="ar-SA"/>
    </w:rPr>
  </w:style>
  <w:style w:type="character" w:styleId="ACEHeadline2Char">
    <w:name w:val="ACE Headline 2 Char"/>
    <w:qFormat/>
    <w:rPr>
      <w:rFonts w:ascii="Arial" w:hAnsi="Arial" w:cs="Arial"/>
      <w:b/>
      <w:color w:val="003A6E"/>
      <w:sz w:val="28"/>
      <w:szCs w:val="24"/>
      <w:lang w:val="en-US" w:bidi="ar-SA"/>
    </w:rPr>
  </w:style>
  <w:style w:type="character" w:styleId="IntenseEmphasis">
    <w:name w:val="Intense Emphasis"/>
    <w:qFormat/>
    <w:rPr>
      <w:b/>
      <w:bCs/>
      <w:i/>
      <w:iCs/>
      <w:color w:val="4F81BD"/>
    </w:rPr>
  </w:style>
  <w:style w:type="character" w:styleId="CharChar">
    <w:name w:val=" Char Char"/>
    <w:qFormat/>
    <w:rPr>
      <w:sz w:val="24"/>
      <w:szCs w:val="24"/>
      <w:lang w:val="en-US" w:bidi="ar-SA"/>
    </w:rPr>
  </w:style>
  <w:style w:type="character" w:styleId="Body">
    <w:name w:val="body"/>
    <w:qFormat/>
    <w:rPr>
      <w:rFonts w:ascii="Arial" w:hAnsi="Arial" w:cs="Arial"/>
      <w:color w:val="000000"/>
      <w:sz w:val="22"/>
    </w:rPr>
  </w:style>
  <w:style w:type="character" w:styleId="LearningObjectiveChar">
    <w:name w:val="LearningObjective Char"/>
    <w:qFormat/>
    <w:rPr>
      <w:rFonts w:ascii="Arial" w:hAnsi="Arial" w:cs="Arial"/>
      <w:color w:val="0000FF"/>
      <w:sz w:val="24"/>
      <w:szCs w:val="24"/>
      <w:lang w:val="en-US" w:bidi="ar-SA"/>
    </w:rPr>
  </w:style>
  <w:style w:type="character" w:styleId="VisitedInternetLink">
    <w:name w:val="Visited Internet Link"/>
    <w:rPr>
      <w:color w:val="800080"/>
      <w:u w:val="single"/>
    </w:rPr>
  </w:style>
  <w:style w:type="character" w:styleId="Bullets">
    <w:name w:val="Bullets"/>
    <w:qFormat/>
    <w:rPr>
      <w:rFonts w:ascii="StarSymbol;Times New Roman" w:hAnsi="StarSymbol;Times New Roman" w:eastAsia="StarSymbol;Times New Roman" w:cs="StarSymbol;Times New Roman"/>
      <w:sz w:val="18"/>
      <w:szCs w:val="18"/>
    </w:rPr>
  </w:style>
  <w:style w:type="character" w:styleId="Bold">
    <w:name w:val="bold"/>
    <w:qFormat/>
    <w:rPr>
      <w:b/>
    </w:rPr>
  </w:style>
  <w:style w:type="character" w:styleId="Italic">
    <w:name w:val="italic"/>
    <w:qFormat/>
    <w:rPr>
      <w:i/>
    </w:rPr>
  </w:style>
  <w:style w:type="character" w:styleId="FooterChar">
    <w:name w:val="Footer Char"/>
    <w:qFormat/>
    <w:rPr>
      <w:sz w:val="24"/>
      <w:szCs w:val="24"/>
    </w:rPr>
  </w:style>
  <w:style w:type="paragraph" w:styleId="Heading">
    <w:name w:val="Heading"/>
    <w:basedOn w:val="Normal"/>
    <w:next w:val="TextBody"/>
    <w:qFormat/>
    <w:pPr>
      <w:keepNext/>
      <w:spacing w:before="240" w:after="120"/>
    </w:pPr>
    <w:rPr>
      <w:rFonts w:ascii="Arial" w:hAnsi="Arial" w:eastAsia="Arial Unicode MS" w:cs="Tahoma"/>
      <w:sz w:val="28"/>
      <w:szCs w:val="28"/>
    </w:rPr>
  </w:style>
  <w:style w:type="paragraph" w:styleId="TextBody">
    <w:name w:val="Body Text"/>
    <w:basedOn w:val="Normal"/>
    <w:pPr>
      <w:widowControl w:val="false"/>
      <w:suppressAutoHyphens w:val="true"/>
      <w:spacing w:lineRule="auto" w:line="276" w:before="0" w:after="120"/>
    </w:pPr>
    <w:rPr>
      <w:rFonts w:ascii="Calibri" w:hAnsi="Calibri" w:eastAsia="Calibri" w:cs="Calibri"/>
      <w:sz w:val="22"/>
      <w:szCs w:val="22"/>
    </w:rPr>
  </w:style>
  <w:style w:type="paragraph" w:styleId="List">
    <w:name w:val="List"/>
    <w:basedOn w:val="TextBody"/>
    <w:pPr/>
    <w:rPr>
      <w:rFonts w:cs="Tahoma"/>
    </w:rPr>
  </w:style>
  <w:style w:type="paragraph" w:styleId="Caption">
    <w:name w:val="Caption"/>
    <w:basedOn w:val="Normal"/>
    <w:qFormat/>
    <w:pPr>
      <w:suppressLineNumbers/>
      <w:spacing w:before="120" w:after="120"/>
    </w:pPr>
    <w:rPr>
      <w:rFonts w:cs="Tahoma"/>
      <w:i/>
      <w:iCs/>
      <w:sz w:val="24"/>
      <w:szCs w:val="24"/>
    </w:rPr>
  </w:style>
  <w:style w:type="paragraph" w:styleId="Index">
    <w:name w:val="Index"/>
    <w:basedOn w:val="Normal"/>
    <w:qFormat/>
    <w:pPr>
      <w:suppressLineNumbers/>
    </w:pPr>
    <w:rPr>
      <w:rFonts w:cs="Tahoma"/>
    </w:rPr>
  </w:style>
  <w:style w:type="paragraph" w:styleId="Header">
    <w:name w:val="Header"/>
    <w:basedOn w:val="Normal"/>
    <w:pPr>
      <w:tabs>
        <w:tab w:val="center" w:pos="4320" w:leader="none"/>
        <w:tab w:val="right" w:pos="8640" w:leader="none"/>
      </w:tabs>
    </w:pPr>
    <w:rPr/>
  </w:style>
  <w:style w:type="paragraph" w:styleId="Footer">
    <w:name w:val="Footer"/>
    <w:basedOn w:val="Normal"/>
    <w:pPr>
      <w:tabs>
        <w:tab w:val="center" w:pos="4320" w:leader="none"/>
        <w:tab w:val="right" w:pos="8640" w:leader="none"/>
      </w:tabs>
    </w:pPr>
    <w:rPr/>
  </w:style>
  <w:style w:type="paragraph" w:styleId="ListBullet">
    <w:name w:val="List Bullet"/>
    <w:basedOn w:val="Normal"/>
    <w:qFormat/>
    <w:pPr>
      <w:ind w:start="0" w:end="0" w:hanging="0"/>
    </w:pPr>
    <w:rPr/>
  </w:style>
  <w:style w:type="paragraph" w:styleId="BalloonText">
    <w:name w:val="Balloon Text"/>
    <w:basedOn w:val="Normal"/>
    <w:qFormat/>
    <w:pPr/>
    <w:rPr>
      <w:rFonts w:ascii="Tahoma" w:hAnsi="Tahoma" w:cs="Tahoma"/>
      <w:sz w:val="16"/>
      <w:szCs w:val="16"/>
    </w:rPr>
  </w:style>
  <w:style w:type="paragraph" w:styleId="ACESubhead">
    <w:name w:val="ACE Subhead"/>
    <w:basedOn w:val="Normal"/>
    <w:qFormat/>
    <w:pPr>
      <w:widowControl w:val="false"/>
      <w:autoSpaceDE w:val="false"/>
    </w:pPr>
    <w:rPr>
      <w:rFonts w:ascii="Times" w:hAnsi="Times" w:cs="Times"/>
      <w:b/>
      <w:color w:val="003A6E"/>
      <w:sz w:val="32"/>
      <w:szCs w:val="37"/>
    </w:rPr>
  </w:style>
  <w:style w:type="paragraph" w:styleId="ACEsubhead2">
    <w:name w:val="ACE subhead 2"/>
    <w:basedOn w:val="Normal"/>
    <w:qFormat/>
    <w:pPr/>
    <w:rPr>
      <w:rFonts w:ascii="Arial" w:hAnsi="Arial" w:cs="Arial"/>
      <w:b/>
      <w:i/>
      <w:color w:val="5D79A2"/>
      <w:sz w:val="22"/>
    </w:rPr>
  </w:style>
  <w:style w:type="paragraph" w:styleId="ACEChartHead">
    <w:name w:val="ACE Chart Head"/>
    <w:basedOn w:val="Normal"/>
    <w:qFormat/>
    <w:pPr>
      <w:spacing w:before="0" w:after="120"/>
      <w:jc w:val="center"/>
    </w:pPr>
    <w:rPr>
      <w:rFonts w:ascii="Times" w:hAnsi="Times" w:cs="Times"/>
      <w:b/>
      <w:i/>
    </w:rPr>
  </w:style>
  <w:style w:type="paragraph" w:styleId="ACEChartbody">
    <w:name w:val="ACE Chart body"/>
    <w:basedOn w:val="Normal"/>
    <w:qFormat/>
    <w:pPr>
      <w:spacing w:before="0" w:after="120"/>
      <w:ind w:start="0" w:end="0" w:hanging="0"/>
    </w:pPr>
    <w:rPr>
      <w:rFonts w:ascii="Times" w:hAnsi="Times" w:cs="Times"/>
      <w:sz w:val="22"/>
    </w:rPr>
  </w:style>
  <w:style w:type="paragraph" w:styleId="ACEbody">
    <w:name w:val="ACE body"/>
    <w:basedOn w:val="Normal"/>
    <w:qFormat/>
    <w:pPr/>
    <w:rPr>
      <w:rFonts w:ascii="Arial" w:hAnsi="Arial" w:cs="Arial"/>
      <w:sz w:val="22"/>
    </w:rPr>
  </w:style>
  <w:style w:type="paragraph" w:styleId="NormalParagraphStyle">
    <w:name w:val="NormalParagraphStyle"/>
    <w:basedOn w:val="Normal"/>
    <w:qFormat/>
    <w:pPr>
      <w:widowControl w:val="false"/>
      <w:autoSpaceDE w:val="false"/>
      <w:spacing w:lineRule="auto" w:line="288"/>
      <w:textAlignment w:val="center"/>
    </w:pPr>
    <w:rPr>
      <w:rFonts w:ascii="Times-Roman;Times New Roman" w:hAnsi="Times-Roman;Times New Roman" w:cs="Times-Roman;Times New Roman"/>
      <w:color w:val="000000"/>
    </w:rPr>
  </w:style>
  <w:style w:type="paragraph" w:styleId="ACEHeadline2">
    <w:name w:val="ACE Headline 2"/>
    <w:basedOn w:val="Normal"/>
    <w:qFormat/>
    <w:pPr/>
    <w:rPr>
      <w:rFonts w:ascii="Arial" w:hAnsi="Arial" w:cs="Arial"/>
      <w:b/>
      <w:color w:val="003A6E"/>
      <w:sz w:val="28"/>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LearningObjective">
    <w:name w:val="LearningObjective"/>
    <w:basedOn w:val="Normal"/>
    <w:qFormat/>
    <w:pPr>
      <w:numPr>
        <w:ilvl w:val="0"/>
        <w:numId w:val="2"/>
      </w:numPr>
    </w:pPr>
    <w:rPr>
      <w:rFonts w:ascii="Arial" w:hAnsi="Arial" w:cs="Arial"/>
      <w:color w:val="0000FF"/>
    </w:rPr>
  </w:style>
  <w:style w:type="paragraph" w:styleId="ACESubheadingAssignments">
    <w:name w:val="ACE Subheading Assignments"/>
    <w:basedOn w:val="ACESubhead"/>
    <w:qFormat/>
    <w:pPr/>
    <w:rPr>
      <w:szCs w:val="32"/>
    </w:rPr>
  </w:style>
  <w:style w:type="paragraph" w:styleId="StyleACESubheadBlack">
    <w:name w:val="Style ACE Subhead + Black"/>
    <w:basedOn w:val="Normal"/>
    <w:qFormat/>
    <w:pPr>
      <w:widowControl w:val="false"/>
      <w:suppressAutoHyphens w:val="true"/>
      <w:overflowPunct w:val="false"/>
      <w:autoSpaceDE w:val="false"/>
      <w:spacing w:before="120" w:after="0"/>
      <w:textAlignment w:val="baseline"/>
    </w:pPr>
    <w:rPr>
      <w:rFonts w:ascii="Times" w:hAnsi="Times" w:cs="Times"/>
      <w:b/>
      <w:bCs/>
      <w:color w:val="003366"/>
      <w:sz w:val="32"/>
      <w:szCs w:val="20"/>
    </w:rPr>
  </w:style>
  <w:style w:type="paragraph" w:styleId="WhiteTitle">
    <w:name w:val="White Title"/>
    <w:basedOn w:val="Normal"/>
    <w:qFormat/>
    <w:pPr>
      <w:widowControl w:val="false"/>
      <w:suppressAutoHyphens w:val="true"/>
      <w:overflowPunct w:val="false"/>
      <w:autoSpaceDE w:val="false"/>
      <w:textAlignment w:val="baseline"/>
    </w:pPr>
    <w:rPr>
      <w:rFonts w:ascii="Times" w:hAnsi="Times" w:cs="Times"/>
      <w:b/>
      <w:bCs/>
      <w:color w:val="FFFFFF"/>
      <w:sz w:val="36"/>
      <w:szCs w:val="20"/>
    </w:rPr>
  </w:style>
  <w:style w:type="paragraph" w:styleId="Framecontents">
    <w:name w:val="Frame contents"/>
    <w:basedOn w:val="TextBody"/>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Li">
    <w:name w:val="li"/>
    <w:basedOn w:val="Normal"/>
    <w:qFormat/>
    <w:pPr>
      <w:keepLines/>
      <w:autoSpaceDE w:val="false"/>
      <w:spacing w:lineRule="auto" w:line="288" w:before="0" w:after="90"/>
      <w:ind w:start="360" w:end="0" w:hanging="360"/>
      <w:textAlignment w:val="baseline"/>
    </w:pPr>
    <w:rPr>
      <w:rFonts w:ascii="MyriadPro-Regular;Times New Roman" w:hAnsi="MyriadPro-Regular;Times New Roman" w:cs="MyriadPro-Regular;Times New Roman"/>
      <w:color w:val="000000"/>
      <w:sz w:val="22"/>
      <w:szCs w:val="22"/>
    </w:rPr>
  </w:style>
  <w:style w:type="paragraph" w:styleId="Normal1">
    <w:name w:val="LO-normal"/>
    <w:basedOn w:val="Li"/>
    <w:qFormat/>
    <w:pPr>
      <w:tabs>
        <w:tab w:val="left" w:pos="1800" w:leader="none"/>
      </w:tabs>
      <w:ind w:start="0" w:end="0" w:hanging="0"/>
    </w:pPr>
    <w:rPr/>
  </w:style>
  <w:style w:type="paragraph" w:styleId="H4">
    <w:name w:val="H4"/>
    <w:basedOn w:val="Normal"/>
    <w:qFormat/>
    <w:pPr>
      <w:keepNext/>
      <w:keepLines/>
      <w:tabs>
        <w:tab w:val="left" w:pos="1800" w:leader="none"/>
      </w:tabs>
      <w:autoSpaceDE w:val="false"/>
      <w:spacing w:lineRule="auto" w:line="288" w:before="180" w:after="90"/>
      <w:ind w:start="360" w:end="0" w:hanging="360"/>
      <w:textAlignment w:val="baseline"/>
    </w:pPr>
    <w:rPr>
      <w:rFonts w:ascii="MyriadPro-Regular;Times New Roman" w:hAnsi="MyriadPro-Regular;Times New Roman" w:cs="MyriadPro-Regular;Times New Roman"/>
      <w:b/>
      <w:bCs/>
      <w:color w:val="000000"/>
      <w:sz w:val="22"/>
      <w:szCs w:val="22"/>
    </w:rPr>
  </w:style>
  <w:style w:type="paragraph" w:styleId="Liindent">
    <w:name w:val="li indent"/>
    <w:basedOn w:val="Li"/>
    <w:qFormat/>
    <w:pPr>
      <w:ind w:start="720" w:end="0" w:hanging="360"/>
    </w:pPr>
    <w:rPr/>
  </w:style>
  <w:style w:type="paragraph" w:styleId="H4smaller">
    <w:name w:val="H4 smaller"/>
    <w:basedOn w:val="Normal"/>
    <w:qFormat/>
    <w:pPr>
      <w:keepNext/>
      <w:keepLines/>
      <w:tabs>
        <w:tab w:val="left" w:pos="1800" w:leader="none"/>
      </w:tabs>
      <w:autoSpaceDE w:val="false"/>
      <w:spacing w:lineRule="auto" w:line="288" w:before="180" w:after="90"/>
      <w:ind w:start="360" w:end="0" w:hanging="360"/>
      <w:textAlignment w:val="baseline"/>
    </w:pPr>
    <w:rPr>
      <w:rFonts w:ascii="MyriadPro-Regular;Times New Roman" w:hAnsi="MyriadPro-Regular;Times New Roman" w:cs="MyriadPro-Regular;Times New Roman"/>
      <w:b/>
      <w:bCs/>
      <w:i/>
      <w:iCs/>
      <w:color w:val="000000"/>
      <w:sz w:val="20"/>
      <w:szCs w:val="20"/>
    </w:rPr>
  </w:style>
  <w:style w:type="paragraph" w:styleId="UTAsubheadsmall">
    <w:name w:val="UTA subhead small"/>
    <w:basedOn w:val="ACEsubhead2"/>
    <w:qFormat/>
    <w:pPr/>
    <w:rPr>
      <w:color w:val="002762"/>
      <w:szCs w:val="28"/>
    </w:rPr>
  </w:style>
  <w:style w:type="paragraph" w:styleId="UTAsubheadLarge">
    <w:name w:val="UTA subhead Large"/>
    <w:basedOn w:val="ACESubheadingAssignments"/>
    <w:qFormat/>
    <w:pPr/>
    <w:rPr>
      <w:color w:val="002762"/>
      <w:sz w:val="28"/>
      <w:szCs w:val="28"/>
    </w:rPr>
  </w:style>
  <w:style w:type="paragraph" w:styleId="UTARubriccolor">
    <w:name w:val="UTA Rubric color"/>
    <w:basedOn w:val="ACEHeadline2"/>
    <w:qFormat/>
    <w:pPr/>
    <w:rPr>
      <w:color w:val="0051BA"/>
    </w:rPr>
  </w:style>
  <w:style w:type="paragraph" w:styleId="UTASubmitattheend">
    <w:name w:val="UTA Submit at the end"/>
    <w:basedOn w:val="Normal"/>
    <w:qFormat/>
    <w:pPr/>
    <w:rPr>
      <w:rFonts w:ascii="Arial" w:hAnsi="Arial" w:cs="Arial"/>
      <w:b/>
      <w:color w:val="0051BA"/>
      <w:sz w:val="28"/>
    </w:rPr>
  </w:style>
  <w:style w:type="paragraph" w:styleId="UTAOverview">
    <w:name w:val="UTA Overview"/>
    <w:basedOn w:val="ACEsubhead2"/>
    <w:qFormat/>
    <w:pPr/>
    <w:rPr>
      <w:color w:val="002762"/>
      <w:sz w:val="28"/>
      <w:szCs w:val="28"/>
    </w:rPr>
  </w:style>
  <w:style w:type="paragraph" w:styleId="Title">
    <w:name w:val="Title"/>
    <w:basedOn w:val="Normal"/>
    <w:next w:val="TextBody"/>
    <w:qFormat/>
    <w:pPr>
      <w:widowControl/>
      <w:pBdr>
        <w:top w:val="single" w:sz="12" w:space="1" w:color="000000"/>
        <w:left w:val="single" w:sz="12" w:space="4" w:color="000000"/>
        <w:bottom w:val="single" w:sz="12" w:space="1" w:color="000000"/>
        <w:right w:val="single" w:sz="12" w:space="4" w:color="000000"/>
      </w:pBdr>
      <w:suppressAutoHyphens w:val="false"/>
      <w:jc w:val="center"/>
    </w:pPr>
    <w:rPr>
      <w:bCs/>
      <w:color w:val="000000"/>
      <w:sz w:val="28"/>
    </w:rPr>
  </w:style>
  <w:style w:type="paragraph" w:styleId="NormalWeb">
    <w:name w:val="Normal (Web)"/>
    <w:basedOn w:val="Normal"/>
    <w:qFormat/>
    <w:pPr>
      <w:widowControl/>
      <w:suppressAutoHyphens w:val="false"/>
      <w:spacing w:before="280" w:after="280"/>
    </w:pPr>
    <w:rPr>
      <w:color w:val="000000"/>
    </w:rPr>
  </w:style>
  <w:style w:type="paragraph" w:styleId="BodyText2">
    <w:name w:val="Body Text 2"/>
    <w:basedOn w:val="Normal"/>
    <w:qFormat/>
    <w:pPr>
      <w:widowControl/>
      <w:suppressAutoHyphens w:val="false"/>
    </w:pPr>
    <w:rPr>
      <w:rFonts w:ascii="Times" w:hAnsi="Times" w:cs="Times"/>
      <w:color w:val="000000"/>
      <w:sz w:val="16"/>
      <w:szCs w:val="20"/>
    </w:rPr>
  </w:style>
  <w:style w:type="paragraph" w:styleId="ListParagraph">
    <w:name w:val="List Paragraph"/>
    <w:basedOn w:val="Normal"/>
    <w:qFormat/>
    <w:pPr>
      <w:widowControl/>
      <w:suppressAutoHyphens w:val="false"/>
      <w:spacing w:lineRule="auto" w:line="276" w:before="0" w:after="200"/>
      <w:ind w:start="720" w:hanging="0"/>
      <w:contextualSpacing/>
    </w:pPr>
    <w:rPr>
      <w:rFonts w:ascii="Calibri" w:hAnsi="Calibri" w:eastAsia="Calibri" w:cs="Calibri"/>
      <w:sz w:val="22"/>
      <w:szCs w:val="22"/>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16</TotalTime>
  <Application>LibreOffice/5.1.6.2$Linux_X86_64 LibreOffice_project/10m0$Build-2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2019-06-24T12:57:00Z</dcterms:created>
  <dc:creator>barbara.coots</dc:creator>
  <dc:description/>
  <dc:language>en-US</dc:language>
  <cp:lastModifiedBy>De Guzman, Erica</cp:lastModifiedBy>
  <cp:lastPrinted>2008-07-09T07:50:00Z</cp:lastPrinted>
  <dcterms:modified xsi:type="dcterms:W3CDTF">2019-09-03T12:12:00Z</dcterms:modified>
  <cp:revision>8</cp:revision>
  <dc:subject/>
  <dc:title>Classroom Management Module 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0x0101009A830DE8838C7743837305624ABF9FBF</vt:lpwstr>
  </property>
  <property fmtid="{D5CDD505-2E9C-101B-9397-08002B2CF9AE}" pid="4" name="Owner">
    <vt:lpwstr>Debra Cannon</vt:lpwstr>
  </property>
  <property fmtid="{D5CDD505-2E9C-101B-9397-08002B2CF9AE}" pid="5" name="SPSDescription">
    <vt:lpwstr/>
  </property>
  <property fmtid="{D5CDD505-2E9C-101B-9397-08002B2CF9AE}" pid="6" name="Status">
    <vt:lpwstr>Final</vt:lpwstr>
  </property>
</Properties>
</file>